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E8EA">
      <w:pPr>
        <w:jc w:val="center"/>
        <w:rPr>
          <w:rFonts w:hint="eastAsia" w:eastAsia="宋体"/>
          <w:b/>
          <w:bCs/>
          <w:lang w:eastAsia="zh-CN"/>
        </w:rPr>
      </w:pPr>
      <w:r>
        <w:rPr>
          <w:rFonts w:hint="eastAsia"/>
          <w:b/>
          <w:bCs/>
          <w:lang w:eastAsia="zh-CN"/>
        </w:rPr>
        <w:t>古籍特色资源库建设与数字化创新展示</w:t>
      </w:r>
    </w:p>
    <w:p w14:paraId="2F773A74">
      <w:pPr>
        <w:pStyle w:val="8"/>
        <w:rPr>
          <w:rFonts w:hint="eastAsia"/>
          <w:b/>
          <w:bCs/>
        </w:rPr>
      </w:pPr>
    </w:p>
    <w:p w14:paraId="07ADEE31">
      <w:pPr>
        <w:pStyle w:val="8"/>
        <w:ind w:left="0" w:leftChars="0" w:firstLine="0" w:firstLineChars="0"/>
        <w:rPr>
          <w:rFonts w:hint="eastAsia"/>
          <w:b w:val="0"/>
          <w:bCs w:val="0"/>
          <w:lang w:val="en-US" w:eastAsia="zh-CN"/>
        </w:rPr>
      </w:pPr>
      <w:r>
        <w:rPr>
          <w:rFonts w:hint="eastAsia"/>
          <w:b w:val="0"/>
          <w:bCs w:val="0"/>
          <w:lang w:val="en-US" w:eastAsia="zh-CN"/>
        </w:rPr>
        <w:t>项目名称：古籍特色资源库建设与数字化创新展示</w:t>
      </w:r>
    </w:p>
    <w:p w14:paraId="1568193D">
      <w:pPr>
        <w:pStyle w:val="8"/>
        <w:ind w:left="0" w:leftChars="0" w:firstLine="0" w:firstLineChars="0"/>
        <w:rPr>
          <w:rFonts w:hint="eastAsia"/>
          <w:b w:val="0"/>
          <w:bCs w:val="0"/>
          <w:lang w:val="en-US" w:eastAsia="zh-CN"/>
        </w:rPr>
      </w:pPr>
      <w:r>
        <w:rPr>
          <w:rFonts w:hint="eastAsia"/>
          <w:b w:val="0"/>
          <w:bCs w:val="0"/>
          <w:lang w:val="en-US" w:eastAsia="zh-CN"/>
        </w:rPr>
        <w:t>金额：20万</w:t>
      </w:r>
      <w:bookmarkStart w:id="3" w:name="_GoBack"/>
      <w:bookmarkEnd w:id="3"/>
    </w:p>
    <w:p w14:paraId="048AD5EB">
      <w:pPr>
        <w:spacing w:line="360" w:lineRule="auto"/>
        <w:ind w:firstLine="472" w:firstLineChars="196"/>
        <w:rPr>
          <w:rFonts w:hint="eastAsia" w:ascii="宋体" w:hAnsi="宋体" w:cs="宋体"/>
          <w:b/>
          <w:color w:val="auto"/>
        </w:rPr>
      </w:pPr>
      <w:r>
        <w:rPr>
          <w:rFonts w:hint="eastAsia" w:ascii="宋体" w:hAnsi="宋体" w:cs="宋体"/>
          <w:b/>
          <w:color w:val="auto"/>
        </w:rPr>
        <w:t>一、建设内容</w:t>
      </w:r>
    </w:p>
    <w:p w14:paraId="52A5A412">
      <w:pPr>
        <w:spacing w:line="360" w:lineRule="auto"/>
        <w:ind w:firstLine="470" w:firstLineChars="196"/>
        <w:rPr>
          <w:rFonts w:hint="eastAsia" w:ascii="宋体" w:hAnsi="宋体" w:cs="宋体"/>
          <w:b/>
          <w:color w:val="auto"/>
        </w:rPr>
      </w:pPr>
      <w:r>
        <w:rPr>
          <w:rFonts w:hint="eastAsia" w:ascii="宋体" w:hAnsi="宋体" w:cs="宋体"/>
          <w:color w:val="auto"/>
        </w:rPr>
        <w:t>完成图书馆古籍数字化扫描、数字化图像处理、元数据制作、著录、</w:t>
      </w:r>
      <w:r>
        <w:rPr>
          <w:rFonts w:hint="eastAsia" w:ascii="宋体" w:hAnsi="宋体" w:cs="宋体"/>
          <w:color w:val="auto"/>
          <w:lang w:val="en-US" w:eastAsia="zh-CN"/>
        </w:rPr>
        <w:t>结构</w:t>
      </w:r>
      <w:r>
        <w:rPr>
          <w:rFonts w:hint="eastAsia" w:ascii="宋体" w:hAnsi="宋体" w:cs="宋体"/>
          <w:color w:val="auto"/>
        </w:rPr>
        <w:t>标引、上传古籍</w:t>
      </w:r>
      <w:r>
        <w:rPr>
          <w:rFonts w:hint="eastAsia" w:ascii="宋体" w:hAnsi="宋体" w:cs="宋体"/>
          <w:color w:val="auto"/>
          <w:lang w:val="en-US" w:eastAsia="zh-CN"/>
        </w:rPr>
        <w:t>数据库展示</w:t>
      </w:r>
      <w:r>
        <w:rPr>
          <w:rFonts w:hint="eastAsia" w:ascii="宋体" w:hAnsi="宋体" w:cs="宋体"/>
          <w:color w:val="auto"/>
        </w:rPr>
        <w:t>平台发布展示。</w:t>
      </w:r>
    </w:p>
    <w:tbl>
      <w:tblPr>
        <w:tblStyle w:val="9"/>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961"/>
        <w:gridCol w:w="1423"/>
        <w:gridCol w:w="924"/>
        <w:gridCol w:w="1557"/>
        <w:gridCol w:w="1029"/>
        <w:gridCol w:w="1554"/>
      </w:tblGrid>
      <w:tr w14:paraId="216C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top"/>
          </w:tcPr>
          <w:p w14:paraId="0996C21A">
            <w:pPr>
              <w:autoSpaceDE w:val="0"/>
              <w:autoSpaceDN w:val="0"/>
              <w:adjustRightInd w:val="0"/>
              <w:spacing w:line="360" w:lineRule="auto"/>
              <w:rPr>
                <w:rFonts w:hint="eastAsia" w:ascii="宋体" w:hAnsi="宋体" w:cs="宋体"/>
                <w:color w:val="auto"/>
              </w:rPr>
            </w:pPr>
            <w:r>
              <w:rPr>
                <w:rFonts w:hint="eastAsia" w:ascii="宋体" w:hAnsi="宋体" w:cs="宋体"/>
                <w:color w:val="auto"/>
              </w:rPr>
              <w:t>序号</w:t>
            </w:r>
          </w:p>
        </w:tc>
        <w:tc>
          <w:tcPr>
            <w:tcW w:w="1961" w:type="dxa"/>
            <w:noWrap w:val="0"/>
            <w:vAlign w:val="top"/>
          </w:tcPr>
          <w:p w14:paraId="7EF9C80B">
            <w:pPr>
              <w:autoSpaceDE w:val="0"/>
              <w:autoSpaceDN w:val="0"/>
              <w:adjustRightInd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建设项目</w:t>
            </w:r>
          </w:p>
        </w:tc>
        <w:tc>
          <w:tcPr>
            <w:tcW w:w="1423" w:type="dxa"/>
            <w:noWrap w:val="0"/>
            <w:vAlign w:val="top"/>
          </w:tcPr>
          <w:p w14:paraId="693F1FBC">
            <w:pPr>
              <w:autoSpaceDE w:val="0"/>
              <w:autoSpaceDN w:val="0"/>
              <w:adjustRightInd w:val="0"/>
              <w:spacing w:line="360" w:lineRule="auto"/>
              <w:rPr>
                <w:rFonts w:ascii="宋体" w:hAnsi="宋体" w:cs="宋体"/>
                <w:color w:val="auto"/>
              </w:rPr>
            </w:pPr>
            <w:r>
              <w:rPr>
                <w:rFonts w:hint="eastAsia" w:ascii="宋体" w:hAnsi="宋体" w:cs="宋体"/>
                <w:color w:val="auto"/>
              </w:rPr>
              <w:t>规格及参数要求</w:t>
            </w:r>
          </w:p>
        </w:tc>
        <w:tc>
          <w:tcPr>
            <w:tcW w:w="924" w:type="dxa"/>
            <w:noWrap w:val="0"/>
            <w:vAlign w:val="top"/>
          </w:tcPr>
          <w:p w14:paraId="3D1D540A">
            <w:pPr>
              <w:autoSpaceDE w:val="0"/>
              <w:autoSpaceDN w:val="0"/>
              <w:adjustRightInd w:val="0"/>
              <w:spacing w:line="360" w:lineRule="auto"/>
              <w:rPr>
                <w:rFonts w:ascii="宋体" w:hAnsi="宋体" w:cs="宋体"/>
                <w:color w:val="auto"/>
              </w:rPr>
            </w:pPr>
            <w:r>
              <w:rPr>
                <w:rFonts w:hint="eastAsia" w:ascii="宋体" w:hAnsi="宋体" w:cs="宋体"/>
                <w:color w:val="auto"/>
              </w:rPr>
              <w:t>数量</w:t>
            </w:r>
          </w:p>
        </w:tc>
        <w:tc>
          <w:tcPr>
            <w:tcW w:w="1557" w:type="dxa"/>
            <w:noWrap w:val="0"/>
            <w:vAlign w:val="top"/>
          </w:tcPr>
          <w:p w14:paraId="4812640E">
            <w:pPr>
              <w:autoSpaceDE w:val="0"/>
              <w:autoSpaceDN w:val="0"/>
              <w:adjustRightInd w:val="0"/>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单价</w:t>
            </w:r>
            <w:r>
              <w:rPr>
                <w:rFonts w:hint="eastAsia" w:ascii="宋体" w:hAnsi="宋体" w:cs="宋体"/>
                <w:color w:val="auto"/>
              </w:rPr>
              <w:t>（元）</w:t>
            </w:r>
          </w:p>
        </w:tc>
        <w:tc>
          <w:tcPr>
            <w:tcW w:w="1029" w:type="dxa"/>
            <w:noWrap w:val="0"/>
            <w:vAlign w:val="top"/>
          </w:tcPr>
          <w:p w14:paraId="74C69FEF">
            <w:pPr>
              <w:autoSpaceDE w:val="0"/>
              <w:autoSpaceDN w:val="0"/>
              <w:adjustRightInd w:val="0"/>
              <w:spacing w:line="360" w:lineRule="auto"/>
              <w:rPr>
                <w:rFonts w:hint="eastAsia" w:ascii="宋体" w:hAnsi="宋体" w:cs="宋体"/>
                <w:color w:val="auto"/>
              </w:rPr>
            </w:pPr>
            <w:r>
              <w:rPr>
                <w:rFonts w:hint="eastAsia" w:ascii="宋体" w:hAnsi="宋体" w:cs="宋体"/>
                <w:color w:val="auto"/>
              </w:rPr>
              <w:t>单位</w:t>
            </w:r>
          </w:p>
        </w:tc>
        <w:tc>
          <w:tcPr>
            <w:tcW w:w="1554" w:type="dxa"/>
            <w:noWrap w:val="0"/>
            <w:vAlign w:val="top"/>
          </w:tcPr>
          <w:p w14:paraId="3BC52B73">
            <w:pPr>
              <w:autoSpaceDE w:val="0"/>
              <w:autoSpaceDN w:val="0"/>
              <w:adjustRightInd w:val="0"/>
              <w:spacing w:line="360" w:lineRule="auto"/>
              <w:rPr>
                <w:rFonts w:hint="eastAsia" w:ascii="宋体" w:hAnsi="宋体" w:cs="宋体"/>
                <w:color w:val="auto"/>
              </w:rPr>
            </w:pPr>
            <w:r>
              <w:rPr>
                <w:rFonts w:hint="eastAsia" w:ascii="宋体" w:hAnsi="宋体" w:cs="宋体"/>
                <w:color w:val="auto"/>
              </w:rPr>
              <w:t>总价</w:t>
            </w:r>
          </w:p>
          <w:p w14:paraId="71F21D6C">
            <w:pPr>
              <w:autoSpaceDE w:val="0"/>
              <w:autoSpaceDN w:val="0"/>
              <w:adjustRightInd w:val="0"/>
              <w:spacing w:line="360" w:lineRule="auto"/>
              <w:rPr>
                <w:rFonts w:ascii="宋体" w:hAnsi="宋体" w:cs="宋体"/>
                <w:color w:val="auto"/>
              </w:rPr>
            </w:pPr>
            <w:r>
              <w:rPr>
                <w:rFonts w:hint="eastAsia" w:ascii="宋体" w:hAnsi="宋体" w:cs="宋体"/>
                <w:color w:val="auto"/>
              </w:rPr>
              <w:t>（元）</w:t>
            </w:r>
          </w:p>
        </w:tc>
      </w:tr>
      <w:tr w14:paraId="604F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top"/>
          </w:tcPr>
          <w:p w14:paraId="779B5B98">
            <w:pPr>
              <w:autoSpaceDE w:val="0"/>
              <w:autoSpaceDN w:val="0"/>
              <w:adjustRightInd w:val="0"/>
              <w:spacing w:line="360" w:lineRule="auto"/>
              <w:rPr>
                <w:rFonts w:hint="eastAsia" w:ascii="宋体" w:hAnsi="宋体" w:cs="宋体"/>
                <w:color w:val="auto"/>
              </w:rPr>
            </w:pPr>
            <w:r>
              <w:rPr>
                <w:rFonts w:hint="eastAsia" w:ascii="宋体" w:hAnsi="宋体" w:cs="宋体"/>
                <w:color w:val="auto"/>
              </w:rPr>
              <w:t>1</w:t>
            </w:r>
          </w:p>
        </w:tc>
        <w:tc>
          <w:tcPr>
            <w:tcW w:w="1961" w:type="dxa"/>
            <w:noWrap w:val="0"/>
            <w:vAlign w:val="top"/>
          </w:tcPr>
          <w:p w14:paraId="06C7AC34">
            <w:pPr>
              <w:autoSpaceDE w:val="0"/>
              <w:autoSpaceDN w:val="0"/>
              <w:adjustRightInd w:val="0"/>
              <w:spacing w:line="360" w:lineRule="auto"/>
              <w:rPr>
                <w:rFonts w:hint="default" w:ascii="宋体" w:hAnsi="宋体" w:eastAsia="宋体" w:cs="宋体"/>
                <w:color w:val="auto"/>
                <w:lang w:val="en-US" w:eastAsia="zh-CN"/>
              </w:rPr>
            </w:pPr>
            <w:r>
              <w:rPr>
                <w:rFonts w:hint="eastAsia" w:ascii="宋体" w:hAnsi="宋体" w:cs="宋体"/>
                <w:color w:val="auto"/>
              </w:rPr>
              <w:t>数字化</w:t>
            </w:r>
            <w:r>
              <w:rPr>
                <w:rFonts w:hint="eastAsia" w:ascii="宋体" w:hAnsi="宋体" w:cs="宋体"/>
                <w:color w:val="auto"/>
                <w:lang w:val="en-US" w:eastAsia="zh-CN"/>
              </w:rPr>
              <w:t>加工服务</w:t>
            </w:r>
          </w:p>
        </w:tc>
        <w:tc>
          <w:tcPr>
            <w:tcW w:w="1423" w:type="dxa"/>
            <w:noWrap w:val="0"/>
            <w:vAlign w:val="top"/>
          </w:tcPr>
          <w:p w14:paraId="0CA49623">
            <w:pPr>
              <w:autoSpaceDE w:val="0"/>
              <w:autoSpaceDN w:val="0"/>
              <w:adjustRightInd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参考建设需求</w:t>
            </w:r>
          </w:p>
        </w:tc>
        <w:tc>
          <w:tcPr>
            <w:tcW w:w="924" w:type="dxa"/>
            <w:noWrap w:val="0"/>
            <w:vAlign w:val="top"/>
          </w:tcPr>
          <w:p w14:paraId="7DCBDC4F">
            <w:pPr>
              <w:autoSpaceDE w:val="0"/>
              <w:autoSpaceDN w:val="0"/>
              <w:adjustRightInd w:val="0"/>
              <w:spacing w:line="360" w:lineRule="auto"/>
              <w:rPr>
                <w:rFonts w:hint="default" w:ascii="宋体" w:hAnsi="宋体" w:cs="宋体"/>
                <w:color w:val="auto"/>
                <w:lang w:val="en-US"/>
              </w:rPr>
            </w:pPr>
            <w:r>
              <w:rPr>
                <w:rFonts w:hint="eastAsia" w:ascii="宋体" w:hAnsi="宋体" w:cs="宋体"/>
                <w:color w:val="auto"/>
                <w:lang w:val="en-US" w:eastAsia="zh-CN"/>
              </w:rPr>
              <w:t>15000</w:t>
            </w:r>
          </w:p>
        </w:tc>
        <w:tc>
          <w:tcPr>
            <w:tcW w:w="1557" w:type="dxa"/>
            <w:noWrap w:val="0"/>
            <w:vAlign w:val="top"/>
          </w:tcPr>
          <w:p w14:paraId="3666744F">
            <w:pPr>
              <w:autoSpaceDE w:val="0"/>
              <w:autoSpaceDN w:val="0"/>
              <w:adjustRightInd w:val="0"/>
              <w:spacing w:line="360" w:lineRule="auto"/>
              <w:rPr>
                <w:rFonts w:hint="default" w:ascii="宋体" w:hAnsi="宋体" w:cs="宋体"/>
                <w:color w:val="auto"/>
                <w:lang w:val="en-US" w:eastAsia="zh-CN"/>
              </w:rPr>
            </w:pPr>
          </w:p>
        </w:tc>
        <w:tc>
          <w:tcPr>
            <w:tcW w:w="1029" w:type="dxa"/>
            <w:noWrap w:val="0"/>
            <w:vAlign w:val="top"/>
          </w:tcPr>
          <w:p w14:paraId="5950CA4B">
            <w:pPr>
              <w:autoSpaceDE w:val="0"/>
              <w:autoSpaceDN w:val="0"/>
              <w:adjustRightInd w:val="0"/>
              <w:spacing w:line="360" w:lineRule="auto"/>
              <w:rPr>
                <w:rFonts w:hint="eastAsia" w:ascii="宋体" w:hAnsi="宋体" w:eastAsia="宋体" w:cs="宋体"/>
                <w:color w:val="auto"/>
                <w:lang w:eastAsia="zh-CN"/>
              </w:rPr>
            </w:pPr>
            <w:r>
              <w:rPr>
                <w:rFonts w:hint="eastAsia" w:ascii="宋体" w:hAnsi="宋体" w:cs="宋体"/>
                <w:color w:val="auto"/>
                <w:lang w:val="en-US" w:eastAsia="zh-CN"/>
              </w:rPr>
              <w:t>叶</w:t>
            </w:r>
          </w:p>
        </w:tc>
        <w:tc>
          <w:tcPr>
            <w:tcW w:w="1554" w:type="dxa"/>
            <w:noWrap w:val="0"/>
            <w:vAlign w:val="top"/>
          </w:tcPr>
          <w:p w14:paraId="7621F300">
            <w:pPr>
              <w:autoSpaceDE w:val="0"/>
              <w:autoSpaceDN w:val="0"/>
              <w:adjustRightInd w:val="0"/>
              <w:spacing w:line="360" w:lineRule="auto"/>
              <w:rPr>
                <w:rFonts w:hint="default" w:ascii="宋体" w:hAnsi="宋体" w:cs="宋体"/>
                <w:color w:val="auto"/>
                <w:lang w:val="en-US"/>
              </w:rPr>
            </w:pPr>
          </w:p>
        </w:tc>
      </w:tr>
      <w:tr w14:paraId="699E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top"/>
          </w:tcPr>
          <w:p w14:paraId="46D0F478">
            <w:pPr>
              <w:autoSpaceDE w:val="0"/>
              <w:autoSpaceDN w:val="0"/>
              <w:adjustRightInd w:val="0"/>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1961" w:type="dxa"/>
            <w:noWrap w:val="0"/>
            <w:vAlign w:val="top"/>
          </w:tcPr>
          <w:p w14:paraId="39957608">
            <w:pPr>
              <w:autoSpaceDE w:val="0"/>
              <w:autoSpaceDN w:val="0"/>
              <w:adjustRightInd w:val="0"/>
              <w:spacing w:line="360" w:lineRule="auto"/>
              <w:rPr>
                <w:rFonts w:hint="default" w:ascii="宋体" w:hAnsi="宋体" w:eastAsia="宋体" w:cs="宋体"/>
                <w:color w:val="auto"/>
                <w:lang w:val="en-US" w:eastAsia="zh-CN"/>
              </w:rPr>
            </w:pPr>
            <w:r>
              <w:rPr>
                <w:rFonts w:hint="eastAsia" w:ascii="宋体" w:hAnsi="宋体" w:cs="宋体"/>
                <w:color w:val="auto"/>
              </w:rPr>
              <w:t>古籍</w:t>
            </w:r>
            <w:r>
              <w:rPr>
                <w:rFonts w:hint="eastAsia" w:ascii="宋体" w:hAnsi="宋体" w:cs="宋体"/>
                <w:color w:val="auto"/>
                <w:lang w:val="en-US" w:eastAsia="zh-CN"/>
              </w:rPr>
              <w:t>数据库展示</w:t>
            </w:r>
            <w:r>
              <w:rPr>
                <w:rFonts w:hint="eastAsia" w:ascii="宋体" w:hAnsi="宋体" w:cs="宋体"/>
                <w:color w:val="auto"/>
              </w:rPr>
              <w:t>平台</w:t>
            </w:r>
          </w:p>
        </w:tc>
        <w:tc>
          <w:tcPr>
            <w:tcW w:w="1423" w:type="dxa"/>
            <w:noWrap w:val="0"/>
            <w:vAlign w:val="top"/>
          </w:tcPr>
          <w:p w14:paraId="68920F16">
            <w:pPr>
              <w:autoSpaceDE w:val="0"/>
              <w:autoSpaceDN w:val="0"/>
              <w:adjustRightInd w:val="0"/>
              <w:spacing w:line="360" w:lineRule="auto"/>
              <w:rPr>
                <w:rFonts w:hint="eastAsia" w:ascii="宋体" w:hAnsi="宋体" w:cs="宋体"/>
                <w:color w:val="auto"/>
              </w:rPr>
            </w:pPr>
            <w:r>
              <w:rPr>
                <w:rFonts w:hint="eastAsia" w:ascii="宋体" w:hAnsi="宋体" w:cs="宋体"/>
                <w:color w:val="auto"/>
                <w:lang w:val="en-US" w:eastAsia="zh-CN"/>
              </w:rPr>
              <w:t>参考建设需求</w:t>
            </w:r>
          </w:p>
        </w:tc>
        <w:tc>
          <w:tcPr>
            <w:tcW w:w="924" w:type="dxa"/>
            <w:noWrap w:val="0"/>
            <w:vAlign w:val="top"/>
          </w:tcPr>
          <w:p w14:paraId="148F7905">
            <w:pPr>
              <w:autoSpaceDE w:val="0"/>
              <w:autoSpaceDN w:val="0"/>
              <w:adjustRightInd w:val="0"/>
              <w:spacing w:line="360" w:lineRule="auto"/>
              <w:rPr>
                <w:rFonts w:hint="default" w:ascii="宋体" w:hAnsi="宋体" w:cs="宋体"/>
                <w:color w:val="auto"/>
                <w:lang w:val="en-US" w:eastAsia="zh-CN"/>
              </w:rPr>
            </w:pPr>
            <w:r>
              <w:rPr>
                <w:rFonts w:hint="eastAsia" w:ascii="宋体" w:hAnsi="宋体" w:cs="宋体"/>
                <w:color w:val="auto"/>
                <w:lang w:val="en-US" w:eastAsia="zh-CN"/>
              </w:rPr>
              <w:t>1</w:t>
            </w:r>
          </w:p>
        </w:tc>
        <w:tc>
          <w:tcPr>
            <w:tcW w:w="1557" w:type="dxa"/>
            <w:noWrap w:val="0"/>
            <w:vAlign w:val="top"/>
          </w:tcPr>
          <w:p w14:paraId="2F8D3E4B">
            <w:pPr>
              <w:autoSpaceDE w:val="0"/>
              <w:autoSpaceDN w:val="0"/>
              <w:adjustRightInd w:val="0"/>
              <w:spacing w:line="360" w:lineRule="auto"/>
              <w:rPr>
                <w:rFonts w:hint="default" w:ascii="宋体" w:hAnsi="宋体" w:cs="宋体"/>
                <w:color w:val="auto"/>
                <w:lang w:val="en-US" w:eastAsia="zh-CN"/>
              </w:rPr>
            </w:pPr>
          </w:p>
        </w:tc>
        <w:tc>
          <w:tcPr>
            <w:tcW w:w="1029" w:type="dxa"/>
            <w:noWrap w:val="0"/>
            <w:vAlign w:val="top"/>
          </w:tcPr>
          <w:p w14:paraId="15756231">
            <w:pPr>
              <w:autoSpaceDE w:val="0"/>
              <w:autoSpaceDN w:val="0"/>
              <w:adjustRightInd w:val="0"/>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套</w:t>
            </w:r>
          </w:p>
        </w:tc>
        <w:tc>
          <w:tcPr>
            <w:tcW w:w="1554" w:type="dxa"/>
            <w:noWrap w:val="0"/>
            <w:vAlign w:val="top"/>
          </w:tcPr>
          <w:p w14:paraId="04686281">
            <w:pPr>
              <w:autoSpaceDE w:val="0"/>
              <w:autoSpaceDN w:val="0"/>
              <w:adjustRightInd w:val="0"/>
              <w:spacing w:line="360" w:lineRule="auto"/>
              <w:rPr>
                <w:rFonts w:hint="eastAsia" w:ascii="宋体" w:hAnsi="宋体" w:cs="宋体"/>
                <w:color w:val="auto"/>
                <w:lang w:val="en-US" w:eastAsia="zh-CN"/>
              </w:rPr>
            </w:pPr>
          </w:p>
        </w:tc>
      </w:tr>
    </w:tbl>
    <w:p w14:paraId="092E067C">
      <w:pPr>
        <w:spacing w:line="360" w:lineRule="auto"/>
        <w:ind w:firstLine="482" w:firstLineChars="200"/>
        <w:rPr>
          <w:rFonts w:hint="eastAsia" w:ascii="宋体" w:hAnsi="宋体" w:cs="宋体"/>
          <w:b/>
          <w:color w:val="auto"/>
        </w:rPr>
      </w:pPr>
    </w:p>
    <w:p w14:paraId="1F568A86">
      <w:pPr>
        <w:spacing w:line="360" w:lineRule="auto"/>
        <w:ind w:firstLine="482" w:firstLineChars="200"/>
        <w:rPr>
          <w:rFonts w:hint="eastAsia" w:ascii="宋体" w:hAnsi="宋体" w:cs="宋体"/>
          <w:b/>
          <w:color w:val="auto"/>
        </w:rPr>
      </w:pPr>
      <w:r>
        <w:rPr>
          <w:rFonts w:hint="eastAsia" w:ascii="宋体" w:hAnsi="宋体" w:cs="宋体"/>
          <w:b/>
          <w:color w:val="auto"/>
        </w:rPr>
        <w:t>二、</w:t>
      </w:r>
      <w:r>
        <w:rPr>
          <w:rFonts w:hint="eastAsia" w:ascii="宋体" w:hAnsi="宋体" w:cs="宋体"/>
          <w:b/>
          <w:color w:val="auto"/>
          <w:lang w:val="en-US" w:eastAsia="zh-CN"/>
        </w:rPr>
        <w:t>建设需</w:t>
      </w:r>
      <w:r>
        <w:rPr>
          <w:rFonts w:hint="eastAsia" w:ascii="宋体" w:hAnsi="宋体" w:cs="宋体"/>
          <w:b/>
          <w:color w:val="auto"/>
        </w:rPr>
        <w:t>求</w:t>
      </w:r>
    </w:p>
    <w:p w14:paraId="25B3053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2" w:firstLineChars="200"/>
        <w:jc w:val="both"/>
        <w:textAlignment w:val="auto"/>
        <w:rPr>
          <w:rStyle w:val="10"/>
          <w:rFonts w:hint="eastAsia" w:ascii="宋体" w:hAnsi="宋体" w:eastAsia="仿宋" w:cs="宋体"/>
          <w:b/>
          <w:bCs/>
          <w:color w:val="auto"/>
          <w:sz w:val="21"/>
          <w:szCs w:val="21"/>
          <w:highlight w:val="none"/>
          <w:lang w:val="en-US" w:eastAsia="zh-CN"/>
        </w:rPr>
      </w:pPr>
      <w:r>
        <w:rPr>
          <w:rStyle w:val="10"/>
          <w:rFonts w:hint="eastAsia" w:ascii="宋体" w:hAnsi="宋体" w:eastAsia="宋体" w:cs="宋体"/>
          <w:b/>
          <w:bCs/>
          <w:color w:val="auto"/>
          <w:sz w:val="21"/>
          <w:szCs w:val="21"/>
          <w:highlight w:val="none"/>
          <w:lang w:val="en-US" w:eastAsia="zh-CN"/>
        </w:rPr>
        <w:t>具体要求如下：</w:t>
      </w:r>
    </w:p>
    <w:tbl>
      <w:tblPr>
        <w:tblStyle w:val="9"/>
        <w:tblW w:w="90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50"/>
        <w:gridCol w:w="7179"/>
      </w:tblGrid>
      <w:tr w14:paraId="0EE19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91" w:type="dxa"/>
            <w:noWrap w:val="0"/>
            <w:vAlign w:val="center"/>
          </w:tcPr>
          <w:p w14:paraId="735C4F70">
            <w:pPr>
              <w:pStyle w:val="12"/>
              <w:shd w:val="clear" w:color="auto" w:fill="auto"/>
              <w:adjustRightInd w:val="0"/>
              <w:snapToGrid w:val="0"/>
              <w:spacing w:line="360" w:lineRule="exact"/>
              <w:jc w:val="center"/>
              <w:rPr>
                <w:rStyle w:val="10"/>
                <w:rFonts w:hint="eastAsia" w:ascii="宋体" w:hAnsi="宋体" w:eastAsia="宋体" w:cs="宋体"/>
                <w:b/>
                <w:bCs/>
                <w:color w:val="auto"/>
                <w:sz w:val="21"/>
                <w:szCs w:val="21"/>
                <w:highlight w:val="none"/>
              </w:rPr>
            </w:pPr>
            <w:r>
              <w:rPr>
                <w:rStyle w:val="10"/>
                <w:rFonts w:hint="eastAsia" w:ascii="宋体" w:hAnsi="宋体" w:eastAsia="宋体" w:cs="宋体"/>
                <w:b/>
                <w:bCs/>
                <w:color w:val="auto"/>
                <w:sz w:val="21"/>
                <w:szCs w:val="21"/>
                <w:highlight w:val="none"/>
              </w:rPr>
              <w:t>序号</w:t>
            </w:r>
          </w:p>
        </w:tc>
        <w:tc>
          <w:tcPr>
            <w:tcW w:w="1150" w:type="dxa"/>
            <w:noWrap w:val="0"/>
            <w:vAlign w:val="center"/>
          </w:tcPr>
          <w:p w14:paraId="36D4D7F9">
            <w:pPr>
              <w:pStyle w:val="12"/>
              <w:shd w:val="clear" w:color="auto" w:fill="auto"/>
              <w:adjustRightInd w:val="0"/>
              <w:snapToGrid w:val="0"/>
              <w:spacing w:line="360" w:lineRule="exact"/>
              <w:jc w:val="center"/>
              <w:rPr>
                <w:rStyle w:val="10"/>
                <w:rFonts w:hint="eastAsia" w:ascii="宋体" w:hAnsi="宋体" w:eastAsia="宋体" w:cs="宋体"/>
                <w:b/>
                <w:bCs/>
                <w:color w:val="auto"/>
                <w:sz w:val="21"/>
                <w:szCs w:val="21"/>
                <w:highlight w:val="none"/>
              </w:rPr>
            </w:pPr>
            <w:r>
              <w:rPr>
                <w:rStyle w:val="10"/>
                <w:rFonts w:hint="eastAsia" w:ascii="宋体" w:hAnsi="宋体" w:eastAsia="宋体" w:cs="宋体"/>
                <w:b/>
                <w:bCs/>
                <w:color w:val="auto"/>
                <w:sz w:val="21"/>
                <w:szCs w:val="21"/>
                <w:highlight w:val="none"/>
              </w:rPr>
              <w:t>项目名称</w:t>
            </w:r>
          </w:p>
        </w:tc>
        <w:tc>
          <w:tcPr>
            <w:tcW w:w="7179" w:type="dxa"/>
            <w:noWrap w:val="0"/>
            <w:vAlign w:val="center"/>
          </w:tcPr>
          <w:p w14:paraId="3D19E260">
            <w:pPr>
              <w:pStyle w:val="12"/>
              <w:shd w:val="clear" w:color="auto" w:fill="auto"/>
              <w:adjustRightInd w:val="0"/>
              <w:snapToGrid w:val="0"/>
              <w:spacing w:line="360" w:lineRule="exact"/>
              <w:jc w:val="center"/>
              <w:rPr>
                <w:rStyle w:val="10"/>
                <w:rFonts w:hint="eastAsia" w:ascii="宋体" w:hAnsi="宋体" w:eastAsia="宋体" w:cs="宋体"/>
                <w:b/>
                <w:bCs/>
                <w:color w:val="auto"/>
                <w:sz w:val="21"/>
                <w:szCs w:val="21"/>
                <w:highlight w:val="none"/>
              </w:rPr>
            </w:pPr>
            <w:r>
              <w:rPr>
                <w:rStyle w:val="10"/>
                <w:rFonts w:hint="eastAsia" w:ascii="宋体" w:hAnsi="宋体" w:eastAsia="宋体" w:cs="宋体"/>
                <w:b/>
                <w:bCs/>
                <w:color w:val="auto"/>
                <w:sz w:val="21"/>
                <w:szCs w:val="21"/>
                <w:highlight w:val="none"/>
              </w:rPr>
              <w:t>建设内容及要求</w:t>
            </w:r>
          </w:p>
        </w:tc>
      </w:tr>
      <w:tr w14:paraId="6840B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center"/>
          </w:tcPr>
          <w:p w14:paraId="4BD69CBE">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1</w:t>
            </w:r>
          </w:p>
        </w:tc>
        <w:tc>
          <w:tcPr>
            <w:tcW w:w="1150" w:type="dxa"/>
            <w:noWrap w:val="0"/>
            <w:vAlign w:val="center"/>
          </w:tcPr>
          <w:p w14:paraId="1D2BCB22">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古籍数字化加工准备</w:t>
            </w:r>
          </w:p>
        </w:tc>
        <w:tc>
          <w:tcPr>
            <w:tcW w:w="7179" w:type="dxa"/>
            <w:noWrap w:val="0"/>
            <w:vAlign w:val="top"/>
          </w:tcPr>
          <w:p w14:paraId="4D17F80B">
            <w:pPr>
              <w:pStyle w:val="12"/>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exact"/>
              <w:jc w:val="left"/>
              <w:textAlignment w:val="center"/>
              <w:rPr>
                <w:rStyle w:val="10"/>
                <w:rFonts w:hint="eastAsia" w:ascii="宋体" w:hAnsi="宋体" w:eastAsia="宋体" w:cs="宋体"/>
                <w:b/>
                <w:bCs/>
                <w:color w:val="auto"/>
                <w:sz w:val="21"/>
                <w:szCs w:val="21"/>
                <w:highlight w:val="none"/>
                <w:lang w:val="en-US" w:eastAsia="zh-CN"/>
              </w:rPr>
            </w:pPr>
            <w:r>
              <w:rPr>
                <w:rStyle w:val="10"/>
                <w:rFonts w:hint="eastAsia" w:ascii="宋体" w:hAnsi="宋体" w:eastAsia="宋体" w:cs="宋体"/>
                <w:b/>
                <w:bCs/>
                <w:color w:val="auto"/>
                <w:sz w:val="21"/>
                <w:szCs w:val="21"/>
                <w:highlight w:val="none"/>
                <w:lang w:val="en-US" w:eastAsia="zh-CN"/>
              </w:rPr>
              <w:t>1.1古籍藏品出库清点</w:t>
            </w:r>
          </w:p>
          <w:p w14:paraId="5A99A85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古籍藏品出库后，要进行初步检查。中标人按照古籍库房的规定办理出库手续，在工作人员（保管人员、安保人员、项目负责人员）的监护下送至工作场地暂存，古籍在未回到库房前，工作场地至少要有三名人员在场，其中包含中标人及工作人员，以确保古籍安全。古籍藏品的存放地点、环境温湿度等应符合文物保护的要求。中标人应认真阅读随书提交的出库工作单，对照工作单核对题名、部次、册数，对工作单中标注的缺叶、错叶、重叶以及其他提示要逐一核查并记录。</w:t>
            </w:r>
          </w:p>
          <w:p w14:paraId="5E0EC12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auto"/>
                <w:sz w:val="21"/>
                <w:szCs w:val="21"/>
                <w:highlight w:val="none"/>
                <w:lang w:val="en-US" w:eastAsia="zh-CN"/>
              </w:rPr>
            </w:pPr>
            <w:r>
              <w:rPr>
                <w:rStyle w:val="10"/>
                <w:rFonts w:hint="eastAsia" w:ascii="宋体" w:hAnsi="宋体" w:eastAsia="宋体" w:cs="宋体"/>
                <w:b/>
                <w:bCs/>
                <w:color w:val="auto"/>
                <w:sz w:val="21"/>
                <w:szCs w:val="21"/>
                <w:highlight w:val="none"/>
                <w:lang w:val="en-US" w:eastAsia="zh-CN"/>
              </w:rPr>
              <w:t>1.2书况检查与登记</w:t>
            </w:r>
          </w:p>
          <w:p w14:paraId="04E23F1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书况检查时，应详细记录古籍状况，并结合古籍的版本、版式、装帧形式、中缝宽度、透字等情况，确定古籍数字化加工方式，选择适宜的数字化设备。</w:t>
            </w:r>
          </w:p>
          <w:p w14:paraId="3C890F4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在书况检查过程中要完全按书叶原貌统计总叶数，并记录古籍的缺叶、漏叶、</w:t>
            </w:r>
          </w:p>
          <w:p w14:paraId="4233322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default" w:ascii="Calibri" w:hAnsi="Calibri" w:eastAsia="宋体" w:cs="Times New Roman"/>
                <w:highlight w:val="none"/>
                <w:lang w:val="en-US" w:eastAsia="zh-CN"/>
              </w:rPr>
            </w:pPr>
            <w:r>
              <w:rPr>
                <w:rStyle w:val="10"/>
                <w:rFonts w:hint="eastAsia" w:ascii="宋体" w:hAnsi="宋体" w:eastAsia="宋体" w:cs="宋体"/>
                <w:color w:val="auto"/>
                <w:sz w:val="21"/>
                <w:szCs w:val="21"/>
                <w:highlight w:val="none"/>
                <w:lang w:val="en-US" w:eastAsia="zh-CN"/>
              </w:rPr>
              <w:t>错叶、重叶、空白叶等情况，注明是否需要补配、去重、变更叶码顺序等，登记扫描或拍摄的叶数，形成较为完整的书况检查记录。书况检查记录将作为数字化加工、质检、标引等后续环节的参考和依据。</w:t>
            </w:r>
          </w:p>
        </w:tc>
      </w:tr>
      <w:tr w14:paraId="4A0B7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91" w:type="dxa"/>
            <w:noWrap w:val="0"/>
            <w:vAlign w:val="center"/>
          </w:tcPr>
          <w:p w14:paraId="1F097441">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2</w:t>
            </w:r>
          </w:p>
        </w:tc>
        <w:tc>
          <w:tcPr>
            <w:tcW w:w="1150" w:type="dxa"/>
            <w:noWrap w:val="0"/>
            <w:vAlign w:val="center"/>
          </w:tcPr>
          <w:p w14:paraId="7ADA11C2">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古籍图像数字化采集要求</w:t>
            </w:r>
          </w:p>
        </w:tc>
        <w:tc>
          <w:tcPr>
            <w:tcW w:w="7179" w:type="dxa"/>
            <w:noWrap w:val="0"/>
            <w:vAlign w:val="top"/>
          </w:tcPr>
          <w:p w14:paraId="1B2B909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sz w:val="21"/>
                <w:szCs w:val="21"/>
                <w:highlight w:val="none"/>
              </w:rPr>
            </w:pPr>
            <w:r>
              <w:rPr>
                <w:rStyle w:val="10"/>
                <w:rFonts w:hint="eastAsia" w:ascii="宋体" w:hAnsi="宋体" w:eastAsia="宋体" w:cs="宋体"/>
                <w:b/>
                <w:bCs/>
                <w:sz w:val="21"/>
                <w:szCs w:val="21"/>
                <w:highlight w:val="none"/>
                <w:lang w:val="en-US" w:eastAsia="zh-CN"/>
              </w:rPr>
              <w:t>2.1</w:t>
            </w:r>
            <w:r>
              <w:rPr>
                <w:rStyle w:val="10"/>
                <w:rFonts w:hint="eastAsia" w:ascii="宋体" w:hAnsi="宋体" w:eastAsia="宋体" w:cs="宋体"/>
                <w:b/>
                <w:bCs/>
                <w:sz w:val="21"/>
                <w:szCs w:val="21"/>
                <w:highlight w:val="none"/>
              </w:rPr>
              <w:t>古籍页面划分</w:t>
            </w:r>
          </w:p>
          <w:p w14:paraId="62E0F2A5">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sz w:val="21"/>
                <w:szCs w:val="21"/>
                <w:highlight w:val="none"/>
              </w:rPr>
            </w:pPr>
            <w:r>
              <w:rPr>
                <w:rStyle w:val="10"/>
                <w:rFonts w:hint="eastAsia" w:ascii="宋体" w:hAnsi="宋体" w:eastAsia="宋体" w:cs="宋体"/>
                <w:b w:val="0"/>
                <w:bCs w:val="0"/>
                <w:sz w:val="21"/>
                <w:szCs w:val="21"/>
                <w:highlight w:val="none"/>
              </w:rPr>
              <w:t>以线装书为例，古籍页面可划分为</w:t>
            </w:r>
            <w:r>
              <w:rPr>
                <w:rStyle w:val="10"/>
                <w:rFonts w:hint="eastAsia" w:ascii="宋体" w:hAnsi="宋体" w:eastAsia="宋体" w:cs="宋体"/>
                <w:b w:val="0"/>
                <w:bCs w:val="0"/>
                <w:sz w:val="21"/>
                <w:szCs w:val="21"/>
                <w:highlight w:val="none"/>
                <w:lang w:eastAsia="zh-CN"/>
              </w:rPr>
              <w:t>筒子叶</w:t>
            </w:r>
            <w:r>
              <w:rPr>
                <w:rStyle w:val="10"/>
                <w:rFonts w:hint="eastAsia" w:ascii="宋体" w:hAnsi="宋体" w:eastAsia="宋体" w:cs="宋体"/>
                <w:b w:val="0"/>
                <w:bCs w:val="0"/>
                <w:sz w:val="21"/>
                <w:szCs w:val="21"/>
                <w:highlight w:val="none"/>
              </w:rPr>
              <w:t>、半叶、双半叶等。古籍数字化采</w:t>
            </w:r>
          </w:p>
          <w:p w14:paraId="26104C76">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sz w:val="21"/>
                <w:szCs w:val="21"/>
                <w:highlight w:val="none"/>
              </w:rPr>
            </w:pPr>
            <w:r>
              <w:rPr>
                <w:rStyle w:val="10"/>
                <w:rFonts w:hint="eastAsia" w:ascii="宋体" w:hAnsi="宋体" w:eastAsia="宋体" w:cs="宋体"/>
                <w:b w:val="0"/>
                <w:bCs w:val="0"/>
                <w:sz w:val="21"/>
                <w:szCs w:val="21"/>
                <w:highlight w:val="none"/>
              </w:rPr>
              <w:t>集时应根据古籍图书的装帧、版面等实际情况，选择叶面类型进行扫描。</w:t>
            </w:r>
          </w:p>
          <w:p w14:paraId="07CFD915">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sz w:val="21"/>
                <w:szCs w:val="21"/>
                <w:highlight w:val="none"/>
              </w:rPr>
              <w:t>一部古籍图书除封面和封底外，同一部古籍图像采集的页面类型应保持一致</w:t>
            </w:r>
            <w:r>
              <w:rPr>
                <w:rStyle w:val="10"/>
                <w:rFonts w:hint="eastAsia" w:ascii="宋体" w:hAnsi="宋体" w:eastAsia="宋体" w:cs="宋体"/>
                <w:b w:val="0"/>
                <w:bCs w:val="0"/>
                <w:sz w:val="21"/>
                <w:szCs w:val="21"/>
                <w:highlight w:val="none"/>
                <w:lang w:eastAsia="zh-CN"/>
              </w:rPr>
              <w:t>。</w:t>
            </w:r>
          </w:p>
          <w:p w14:paraId="00CA16E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000000"/>
                <w:kern w:val="0"/>
                <w:sz w:val="21"/>
                <w:szCs w:val="21"/>
                <w:highlight w:val="none"/>
                <w:lang w:val="en-US" w:eastAsia="zh-CN" w:bidi="ar"/>
              </w:rPr>
            </w:pPr>
            <w:r>
              <w:rPr>
                <w:rStyle w:val="10"/>
                <w:rFonts w:hint="eastAsia" w:ascii="宋体" w:hAnsi="宋体" w:eastAsia="宋体" w:cs="宋体"/>
                <w:b/>
                <w:bCs/>
                <w:color w:val="000000"/>
                <w:kern w:val="0"/>
                <w:sz w:val="21"/>
                <w:szCs w:val="21"/>
                <w:highlight w:val="none"/>
                <w:lang w:val="en-US" w:eastAsia="zh-CN" w:bidi="ar"/>
              </w:rPr>
              <w:t xml:space="preserve">2.2数字图像采集要求 </w:t>
            </w:r>
          </w:p>
          <w:p w14:paraId="221974F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default"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2.2.</w:t>
            </w:r>
            <w:r>
              <w:rPr>
                <w:rStyle w:val="10"/>
                <w:rFonts w:hint="eastAsia" w:ascii="宋体" w:hAnsi="宋体" w:cs="宋体"/>
                <w:b w:val="0"/>
                <w:bCs w:val="0"/>
                <w:color w:val="000000"/>
                <w:kern w:val="0"/>
                <w:sz w:val="21"/>
                <w:szCs w:val="21"/>
                <w:highlight w:val="none"/>
                <w:lang w:val="en-US" w:eastAsia="zh-CN" w:bidi="ar"/>
              </w:rPr>
              <w:t>1</w:t>
            </w:r>
            <w:r>
              <w:rPr>
                <w:rStyle w:val="10"/>
                <w:rFonts w:hint="eastAsia" w:ascii="宋体" w:hAnsi="宋体" w:eastAsia="宋体" w:cs="宋体"/>
                <w:b w:val="0"/>
                <w:bCs w:val="0"/>
                <w:color w:val="000000"/>
                <w:kern w:val="0"/>
                <w:sz w:val="21"/>
                <w:szCs w:val="21"/>
                <w:highlight w:val="none"/>
                <w:lang w:val="en-US" w:eastAsia="zh-CN" w:bidi="ar"/>
              </w:rPr>
              <w:t xml:space="preserve"> 采集要求</w:t>
            </w:r>
          </w:p>
          <w:p w14:paraId="588313B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古籍原件扫描时</w:t>
            </w:r>
            <w:r>
              <w:rPr>
                <w:rStyle w:val="10"/>
                <w:rFonts w:hint="eastAsia" w:ascii="宋体" w:hAnsi="宋体" w:eastAsia="宋体" w:cs="宋体"/>
                <w:b w:val="0"/>
                <w:bCs w:val="0"/>
                <w:color w:val="auto"/>
                <w:kern w:val="0"/>
                <w:sz w:val="21"/>
                <w:szCs w:val="21"/>
                <w:highlight w:val="none"/>
                <w:lang w:val="en-US" w:eastAsia="zh-CN" w:bidi="ar"/>
              </w:rPr>
              <w:t>严禁</w:t>
            </w:r>
            <w:r>
              <w:rPr>
                <w:rStyle w:val="10"/>
                <w:rFonts w:hint="eastAsia" w:ascii="宋体" w:hAnsi="宋体" w:eastAsia="宋体" w:cs="宋体"/>
                <w:b w:val="0"/>
                <w:bCs w:val="0"/>
                <w:color w:val="000000"/>
                <w:kern w:val="0"/>
                <w:sz w:val="21"/>
                <w:szCs w:val="21"/>
                <w:highlight w:val="none"/>
                <w:lang w:val="en-US" w:eastAsia="zh-CN" w:bidi="ar"/>
              </w:rPr>
              <w:t>拆书，扫描过程中不能对文献原件造成二次损伤。</w:t>
            </w:r>
          </w:p>
          <w:p w14:paraId="0A872AD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default"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扫描设备须为高清非接触式扫描仪，无紫外线同步冷光源，光学分辨率不低于600dpi，CCD感光元件不低于5000像素点，且色彩位数不低于24bit。</w:t>
            </w:r>
          </w:p>
          <w:p w14:paraId="4B92B04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 xml:space="preserve">2.2.2色卡与标尺管理 </w:t>
            </w:r>
          </w:p>
          <w:p w14:paraId="78C42B3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 xml:space="preserve">采用IT8标准色彩导表（以下简称色卡）。色卡尺寸不宜过大，以能与古籍拍摄或扫描在同一个画面当中为宜。 </w:t>
            </w:r>
          </w:p>
          <w:p w14:paraId="1CB7136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色卡（含标尺）应与每册古籍封面一同拍摄或扫描。色卡位置与古籍左侧书</w:t>
            </w:r>
          </w:p>
          <w:p w14:paraId="5839698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sz w:val="21"/>
                <w:szCs w:val="21"/>
                <w:highlight w:val="none"/>
              </w:rPr>
            </w:pPr>
            <w:r>
              <w:rPr>
                <w:rStyle w:val="10"/>
                <w:rFonts w:hint="eastAsia" w:ascii="宋体" w:hAnsi="宋体" w:eastAsia="宋体" w:cs="宋体"/>
                <w:b w:val="0"/>
                <w:bCs w:val="0"/>
                <w:color w:val="000000"/>
                <w:kern w:val="0"/>
                <w:sz w:val="21"/>
                <w:szCs w:val="21"/>
                <w:highlight w:val="none"/>
                <w:lang w:val="en-US" w:eastAsia="zh-CN" w:bidi="ar"/>
              </w:rPr>
              <w:t>角对齐，距离封面左侧0.1～1厘米位置。如果色卡不含标尺，可以使用矩形直角尺作为标尺，标尺应表面平整、无变形，刻度清晰可读，不应有锈蚀、划伤、崩刃等缺陷，标尺的材质应避免接触光源后产生透光或反射光。拍摄或扫描时标尺应放置在距离封面上侧0.1厘米～1厘米，以尺端“0”刻度线作为测量基准，保持尺端</w:t>
            </w:r>
            <w:r>
              <w:rPr>
                <w:rStyle w:val="10"/>
                <w:rFonts w:hint="eastAsia" w:ascii="宋体" w:hAnsi="宋体" w:eastAsia="宋体" w:cs="宋体"/>
                <w:b w:val="0"/>
                <w:bCs w:val="0"/>
                <w:color w:val="auto"/>
                <w:kern w:val="0"/>
                <w:sz w:val="21"/>
                <w:szCs w:val="21"/>
                <w:highlight w:val="none"/>
                <w:lang w:val="en-US" w:eastAsia="zh-CN" w:bidi="ar"/>
              </w:rPr>
              <w:t xml:space="preserve">与尺边垂直，不要歪斜。 </w:t>
            </w:r>
          </w:p>
          <w:p w14:paraId="5A6437B6">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000000"/>
                <w:kern w:val="0"/>
                <w:sz w:val="21"/>
                <w:szCs w:val="21"/>
                <w:highlight w:val="none"/>
                <w:lang w:val="en-US" w:eastAsia="zh-CN" w:bidi="ar"/>
              </w:rPr>
            </w:pPr>
            <w:r>
              <w:rPr>
                <w:rStyle w:val="10"/>
                <w:rFonts w:hint="eastAsia" w:ascii="宋体" w:hAnsi="宋体" w:eastAsia="宋体" w:cs="宋体"/>
                <w:b/>
                <w:bCs/>
                <w:color w:val="000000"/>
                <w:kern w:val="0"/>
                <w:sz w:val="21"/>
                <w:szCs w:val="21"/>
                <w:highlight w:val="none"/>
                <w:lang w:val="en-US" w:eastAsia="zh-CN" w:bidi="ar"/>
              </w:rPr>
              <w:t xml:space="preserve">2.3色彩管理  </w:t>
            </w:r>
          </w:p>
          <w:p w14:paraId="322F69B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000000"/>
                <w:kern w:val="0"/>
                <w:sz w:val="21"/>
                <w:szCs w:val="21"/>
                <w:highlight w:val="none"/>
                <w:lang w:val="en-US" w:eastAsia="zh-CN" w:bidi="ar"/>
              </w:rPr>
            </w:pPr>
            <w:r>
              <w:rPr>
                <w:rStyle w:val="10"/>
                <w:rFonts w:hint="eastAsia" w:ascii="宋体" w:hAnsi="宋体" w:eastAsia="宋体" w:cs="宋体"/>
                <w:b w:val="0"/>
                <w:bCs w:val="0"/>
                <w:color w:val="000000"/>
                <w:kern w:val="0"/>
                <w:sz w:val="21"/>
                <w:szCs w:val="21"/>
                <w:highlight w:val="none"/>
                <w:lang w:val="en-US" w:eastAsia="zh-CN" w:bidi="ar"/>
              </w:rPr>
              <w:t>色彩管理工作包括扫描设备的色彩校准工作、色彩空间选择、设备参数设置、</w:t>
            </w:r>
          </w:p>
          <w:p w14:paraId="3022F7B1">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sz w:val="21"/>
                <w:szCs w:val="21"/>
                <w:highlight w:val="none"/>
              </w:rPr>
            </w:pPr>
            <w:r>
              <w:rPr>
                <w:rStyle w:val="10"/>
                <w:rFonts w:hint="eastAsia" w:ascii="宋体" w:hAnsi="宋体" w:eastAsia="宋体" w:cs="宋体"/>
                <w:b w:val="0"/>
                <w:bCs w:val="0"/>
                <w:color w:val="000000"/>
                <w:kern w:val="0"/>
                <w:sz w:val="21"/>
                <w:szCs w:val="21"/>
                <w:highlight w:val="none"/>
                <w:lang w:val="en-US" w:eastAsia="zh-CN" w:bidi="ar"/>
              </w:rPr>
              <w:t xml:space="preserve">数字化操作流程标准化，以及后期处理软件中的色彩管理、色彩校正、输出色彩转换等工作。此外，应定期评估和审查数字化流程中的色彩管理效果，根据实际情况进行优化和改进。通过对比扫描图像与古籍实物的色彩表现，找出色彩偏差的原因，并采取相应措施进行调整。 </w:t>
            </w:r>
          </w:p>
          <w:p w14:paraId="6C75178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000000"/>
                <w:kern w:val="0"/>
                <w:sz w:val="21"/>
                <w:szCs w:val="21"/>
                <w:highlight w:val="none"/>
                <w:lang w:val="en-US" w:eastAsia="zh-CN" w:bidi="ar"/>
              </w:rPr>
            </w:pPr>
            <w:r>
              <w:rPr>
                <w:rStyle w:val="10"/>
                <w:rFonts w:hint="eastAsia" w:ascii="宋体" w:hAnsi="宋体" w:eastAsia="宋体" w:cs="宋体"/>
                <w:b/>
                <w:bCs/>
                <w:color w:val="000000"/>
                <w:kern w:val="0"/>
                <w:sz w:val="21"/>
                <w:szCs w:val="21"/>
                <w:highlight w:val="none"/>
                <w:lang w:val="en-US" w:eastAsia="zh-CN" w:bidi="ar"/>
              </w:rPr>
              <w:t xml:space="preserve">2.4图像采集 </w:t>
            </w:r>
          </w:p>
          <w:p w14:paraId="037E736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2.4.1 采集图像清晰，数据文件叶码连续，没有重叶、缺叶，错叶、折叶等</w:t>
            </w:r>
          </w:p>
          <w:p w14:paraId="5EB0DE6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情况（原书缺叶、错叶除外）。补扫缺叶图像要与同册图像文件的大小尺寸一致，颜色接近。 </w:t>
            </w:r>
          </w:p>
          <w:p w14:paraId="78652495">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2.4.2 按1:1比例扫描，图书叶面外围要求留白，宽度不超过1厘米；书叶 </w:t>
            </w:r>
          </w:p>
          <w:p w14:paraId="561C9F7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间距不超过0.1厘米。 </w:t>
            </w:r>
          </w:p>
          <w:p w14:paraId="5E38EA6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2.4.3 以原书的上边沿为基准，以中缝为中心线，保持原文献的天头、地脚</w:t>
            </w:r>
          </w:p>
          <w:p w14:paraId="6C9CF74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的尺寸不变，左右两边的尺寸基本不变。图像倾斜角度不大于0.2度。 </w:t>
            </w:r>
          </w:p>
          <w:p w14:paraId="629FB961">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2.4.4 原件表面有其他粘贴物件时，先将原件与粘贴物（即粘贴物覆盖于文</w:t>
            </w:r>
          </w:p>
          <w:p w14:paraId="1879488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献）一起扫描，然后将粘贴物掀开，再次扫描原件。 </w:t>
            </w:r>
          </w:p>
          <w:p w14:paraId="6A9FE866">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2.4.5 古籍整理完毕后，需根据古籍实际透字状态确定有无必要添加衬纸。必须注意的是，加垫衬纸不应对古籍造成损坏。加垫衬纸前应先评估图书纸张厚度、纸张强度、折叶空隙等情况，选择适宜的衬纸。衬纸应保持整洁，出现污渍、褶皱时要及时更换。 </w:t>
            </w:r>
          </w:p>
          <w:p w14:paraId="553D9C6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2.4.6 原件超大幅面（如地图）分画幅扫描时，各扫描区域边缘必须留有2</w:t>
            </w:r>
          </w:p>
          <w:p w14:paraId="014E9743">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厘米（含）以上的重复扫描区。 </w:t>
            </w:r>
          </w:p>
          <w:p w14:paraId="17AD237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2.4.7 采集图像完整清晰，无扭曲、变形现象发生。数字图像文件用图形图 </w:t>
            </w:r>
          </w:p>
          <w:p w14:paraId="795B4FB7">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像类软件检查清晰度（图像放大至实际尺寸100%），确保图像不失真。 </w:t>
            </w:r>
          </w:p>
          <w:p w14:paraId="6DB4017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2.4.8 定时做采集设备和输出设备的色彩校正。工作过程中，当数字图像文 </w:t>
            </w:r>
          </w:p>
          <w:p w14:paraId="21F38713">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sz w:val="21"/>
                <w:szCs w:val="21"/>
                <w:highlight w:val="none"/>
              </w:rPr>
            </w:pPr>
            <w:r>
              <w:rPr>
                <w:rStyle w:val="10"/>
                <w:rFonts w:hint="eastAsia" w:ascii="宋体" w:hAnsi="宋体" w:eastAsia="宋体" w:cs="宋体"/>
                <w:color w:val="auto"/>
                <w:sz w:val="21"/>
                <w:szCs w:val="21"/>
                <w:highlight w:val="none"/>
                <w:lang w:val="en-US" w:eastAsia="zh-CN"/>
              </w:rPr>
              <w:t>件与古籍原件颜色不一致时，应及时进行色彩校正，重新完成图像采集工作。</w:t>
            </w:r>
          </w:p>
        </w:tc>
      </w:tr>
      <w:tr w14:paraId="729DA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91" w:type="dxa"/>
            <w:noWrap w:val="0"/>
            <w:vAlign w:val="center"/>
          </w:tcPr>
          <w:p w14:paraId="48F9773F">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3</w:t>
            </w:r>
          </w:p>
        </w:tc>
        <w:tc>
          <w:tcPr>
            <w:tcW w:w="1150" w:type="dxa"/>
            <w:noWrap w:val="0"/>
            <w:vAlign w:val="center"/>
          </w:tcPr>
          <w:p w14:paraId="30E6D9C1">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数字图像处理要求</w:t>
            </w:r>
          </w:p>
        </w:tc>
        <w:tc>
          <w:tcPr>
            <w:tcW w:w="7179" w:type="dxa"/>
            <w:noWrap w:val="0"/>
            <w:vAlign w:val="top"/>
          </w:tcPr>
          <w:p w14:paraId="6E0C4BF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auto"/>
                <w:sz w:val="21"/>
                <w:szCs w:val="21"/>
                <w:highlight w:val="none"/>
              </w:rPr>
            </w:pPr>
            <w:r>
              <w:rPr>
                <w:rStyle w:val="10"/>
                <w:rFonts w:hint="eastAsia" w:ascii="宋体" w:hAnsi="宋体" w:eastAsia="宋体" w:cs="宋体"/>
                <w:b/>
                <w:bCs/>
                <w:color w:val="auto"/>
                <w:sz w:val="21"/>
                <w:szCs w:val="21"/>
                <w:highlight w:val="none"/>
                <w:lang w:val="en-US" w:eastAsia="zh-CN"/>
              </w:rPr>
              <w:t>3.1长期保存级（A）处理内容及</w:t>
            </w:r>
            <w:r>
              <w:rPr>
                <w:rStyle w:val="10"/>
                <w:rFonts w:hint="eastAsia" w:ascii="宋体" w:hAnsi="宋体" w:eastAsia="宋体" w:cs="宋体"/>
                <w:b/>
                <w:bCs/>
                <w:color w:val="auto"/>
                <w:sz w:val="21"/>
                <w:szCs w:val="21"/>
                <w:highlight w:val="none"/>
              </w:rPr>
              <w:t>要求</w:t>
            </w:r>
          </w:p>
          <w:tbl>
            <w:tblPr>
              <w:tblStyle w:val="9"/>
              <w:tblpPr w:leftFromText="180" w:rightFromText="180" w:vertAnchor="text" w:horzAnchor="page" w:tblpX="96" w:tblpY="201"/>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50"/>
              <w:gridCol w:w="846"/>
              <w:gridCol w:w="825"/>
              <w:gridCol w:w="680"/>
              <w:gridCol w:w="914"/>
              <w:gridCol w:w="640"/>
              <w:gridCol w:w="1100"/>
            </w:tblGrid>
            <w:tr w14:paraId="61183469">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3F922F3C">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资源级别</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14:paraId="7802B29F">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载体规格</w:t>
                  </w:r>
                </w:p>
              </w:tc>
              <w:tc>
                <w:tcPr>
                  <w:tcW w:w="3905" w:type="dxa"/>
                  <w:gridSpan w:val="5"/>
                  <w:tcBorders>
                    <w:top w:val="single" w:color="auto" w:sz="4" w:space="0"/>
                    <w:left w:val="single" w:color="auto" w:sz="4" w:space="0"/>
                    <w:bottom w:val="single" w:color="auto" w:sz="4" w:space="0"/>
                    <w:right w:val="single" w:color="auto" w:sz="4" w:space="0"/>
                  </w:tcBorders>
                  <w:noWrap w:val="0"/>
                  <w:vAlign w:val="center"/>
                </w:tcPr>
                <w:p w14:paraId="6DC1323D">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主要参数</w:t>
                  </w:r>
                </w:p>
              </w:tc>
              <w:tc>
                <w:tcPr>
                  <w:tcW w:w="1100" w:type="dxa"/>
                  <w:vMerge w:val="restart"/>
                  <w:tcBorders>
                    <w:top w:val="single" w:color="auto" w:sz="4" w:space="0"/>
                    <w:left w:val="single" w:color="auto" w:sz="4" w:space="0"/>
                    <w:bottom w:val="single" w:color="auto" w:sz="4" w:space="0"/>
                    <w:right w:val="single" w:color="auto" w:sz="4" w:space="0"/>
                  </w:tcBorders>
                  <w:noWrap w:val="0"/>
                  <w:vAlign w:val="top"/>
                </w:tcPr>
                <w:p w14:paraId="68BD1B55">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p w14:paraId="37C31D1D">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说明</w:t>
                  </w:r>
                </w:p>
              </w:tc>
            </w:tr>
            <w:tr w14:paraId="7E27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0C6F6E12">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6992193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44FA27C">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分辨率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5337AB3">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色彩</w:t>
                  </w:r>
                </w:p>
                <w:p w14:paraId="69BB8EA0">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位深</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DB626AE">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格式</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60DB91C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短边</w:t>
                  </w:r>
                </w:p>
                <w:p w14:paraId="46873D8A">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像素</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1A55687B">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色调再现</w:t>
                  </w:r>
                </w:p>
              </w:tc>
              <w:tc>
                <w:tcPr>
                  <w:tcW w:w="1100" w:type="dxa"/>
                  <w:vMerge w:val="continue"/>
                  <w:tcBorders>
                    <w:top w:val="single" w:color="auto" w:sz="4" w:space="0"/>
                    <w:left w:val="single" w:color="auto" w:sz="4" w:space="0"/>
                    <w:bottom w:val="single" w:color="auto" w:sz="4" w:space="0"/>
                    <w:right w:val="single" w:color="auto" w:sz="4" w:space="0"/>
                  </w:tcBorders>
                  <w:noWrap w:val="0"/>
                  <w:vAlign w:val="top"/>
                </w:tcPr>
                <w:p w14:paraId="6BED1672">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r>
            <w:tr w14:paraId="78F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5BB7084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p w14:paraId="2158CAA9">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长期保存级（A）</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55EBD8D">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文献短边≥14.8cm（A5尺寸）</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2924B9D3">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800dpi</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14:paraId="12298DEE">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RGB24位以上</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17BA4909">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TIFF（LZW）</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4C241D1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不小于4500</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14:paraId="393E1DB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10"/>
                      <w:rFonts w:hint="eastAsia" w:ascii="宋体" w:hAnsi="宋体" w:eastAsia="宋体" w:cs="宋体"/>
                      <w:color w:val="auto"/>
                      <w:sz w:val="21"/>
                      <w:szCs w:val="21"/>
                      <w:highlight w:val="none"/>
                      <w:vertAlign w:val="baseline"/>
                      <w:lang w:val="en-US" w:eastAsia="zh-CN"/>
                    </w:rPr>
                  </w:pPr>
                  <w:r>
                    <w:rPr>
                      <w:rStyle w:val="10"/>
                      <w:rFonts w:hint="eastAsia" w:ascii="宋体" w:hAnsi="宋体" w:eastAsia="宋体" w:cs="宋体"/>
                      <w:color w:val="auto"/>
                      <w:sz w:val="21"/>
                      <w:szCs w:val="21"/>
                      <w:highlight w:val="none"/>
                      <w:vertAlign w:val="baseline"/>
                      <w:lang w:val="en-US" w:eastAsia="zh-CN"/>
                    </w:rPr>
                    <w:t>ICC配置文件</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63EB1EA">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文献开本小于A5应提高采集分辨率</w:t>
                  </w:r>
                </w:p>
              </w:tc>
            </w:tr>
            <w:tr w14:paraId="58F2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418CBB38">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18C8B79">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文献短边≥21cm（A4尺寸）</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41EA08D2">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600dpi</w:t>
                  </w: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72250A5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44C41C2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02C8A73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不小于4800</w:t>
                  </w:r>
                </w:p>
              </w:tc>
              <w:tc>
                <w:tcPr>
                  <w:tcW w:w="640" w:type="dxa"/>
                  <w:vMerge w:val="continue"/>
                  <w:tcBorders>
                    <w:top w:val="single" w:color="auto" w:sz="4" w:space="0"/>
                    <w:left w:val="single" w:color="auto" w:sz="4" w:space="0"/>
                    <w:bottom w:val="single" w:color="auto" w:sz="4" w:space="0"/>
                    <w:right w:val="single" w:color="auto" w:sz="4" w:space="0"/>
                  </w:tcBorders>
                  <w:noWrap w:val="0"/>
                  <w:vAlign w:val="top"/>
                </w:tcPr>
                <w:p w14:paraId="7AD9CFDC">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Style w:val="10"/>
                      <w:rFonts w:hint="eastAsia" w:ascii="宋体" w:hAnsi="宋体" w:eastAsia="宋体" w:cs="宋体"/>
                      <w:color w:val="auto"/>
                      <w:sz w:val="21"/>
                      <w:szCs w:val="21"/>
                      <w:highlight w:val="none"/>
                      <w:vertAlign w:val="baseli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CA96A0D">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文献开本大于A4采集分辨率不变</w:t>
                  </w:r>
                </w:p>
              </w:tc>
            </w:tr>
          </w:tbl>
          <w:p w14:paraId="2B05BB7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rPr>
              <w:t>扫描后</w:t>
            </w:r>
            <w:r>
              <w:rPr>
                <w:rStyle w:val="10"/>
                <w:rFonts w:hint="eastAsia" w:ascii="宋体" w:hAnsi="宋体" w:eastAsia="宋体" w:cs="宋体"/>
                <w:color w:val="auto"/>
                <w:sz w:val="21"/>
                <w:szCs w:val="21"/>
                <w:highlight w:val="none"/>
                <w:lang w:val="en-US" w:eastAsia="zh-CN"/>
              </w:rPr>
              <w:t>的原始图像须逐页检查，进行相应的图像优化处理，确保图像清晰、端正、完整，图像处理应在未改变原扫描图像色彩位数、分辨率、像素、格式等情况下进行。</w:t>
            </w:r>
          </w:p>
          <w:p w14:paraId="32A4AC3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3.1.1纠偏处理。对出现偏斜的图像进行纠偏处理，对方向不正确的图像进行旋转还原，使其符合阅读习惯。</w:t>
            </w:r>
          </w:p>
          <w:p w14:paraId="61946BE3">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3.1.2图像剪裁。只允许处理馆藏国家古籍背景纸与拍摄图书外边缘的空白处。馆藏国家古籍原书与背景纸外边缘距离0.5～1cm。</w:t>
            </w:r>
          </w:p>
          <w:p w14:paraId="1EACC91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3.1.3图像拼接。对大幅面文献进行分区扫描形成的多幅图像，服务级文件进行拼接处理，合并为一个完整的图像，以保证数字文件的整体性。</w:t>
            </w:r>
          </w:p>
          <w:p w14:paraId="733AA4FC">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sz w:val="21"/>
                <w:szCs w:val="21"/>
                <w:highlight w:val="none"/>
                <w:lang w:val="en-US" w:eastAsia="zh-CN"/>
              </w:rPr>
              <w:t>3.1.4不能进行锐化或者图像增强处理，不能更改图像的颜色，尽量减少对图像文件的后期处理。</w:t>
            </w:r>
          </w:p>
          <w:p w14:paraId="1703754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bCs/>
                <w:color w:val="auto"/>
                <w:sz w:val="21"/>
                <w:szCs w:val="21"/>
                <w:highlight w:val="none"/>
              </w:rPr>
            </w:pPr>
            <w:r>
              <w:rPr>
                <w:rStyle w:val="10"/>
                <w:rFonts w:hint="eastAsia" w:ascii="宋体" w:hAnsi="宋体" w:eastAsia="宋体" w:cs="宋体"/>
                <w:b/>
                <w:bCs/>
                <w:color w:val="auto"/>
                <w:sz w:val="21"/>
                <w:szCs w:val="21"/>
                <w:highlight w:val="none"/>
                <w:lang w:val="en-US" w:eastAsia="zh-CN"/>
              </w:rPr>
              <w:t>3.2发布服务级（D）处理内容及</w:t>
            </w:r>
            <w:r>
              <w:rPr>
                <w:rStyle w:val="10"/>
                <w:rFonts w:hint="eastAsia" w:ascii="宋体" w:hAnsi="宋体" w:eastAsia="宋体" w:cs="宋体"/>
                <w:b/>
                <w:bCs/>
                <w:color w:val="auto"/>
                <w:sz w:val="21"/>
                <w:szCs w:val="21"/>
                <w:highlight w:val="none"/>
              </w:rPr>
              <w:t>要求</w:t>
            </w:r>
          </w:p>
          <w:tbl>
            <w:tblPr>
              <w:tblStyle w:val="9"/>
              <w:tblpPr w:leftFromText="180" w:rightFromText="180" w:vertAnchor="text" w:horzAnchor="page" w:tblpX="226" w:tblpY="195"/>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50"/>
              <w:gridCol w:w="665"/>
              <w:gridCol w:w="810"/>
              <w:gridCol w:w="610"/>
              <w:gridCol w:w="830"/>
              <w:gridCol w:w="1990"/>
            </w:tblGrid>
            <w:tr w14:paraId="230D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12D317CB">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资源级别</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14:paraId="77CF8C9B">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载体规格</w:t>
                  </w:r>
                </w:p>
              </w:tc>
              <w:tc>
                <w:tcPr>
                  <w:tcW w:w="2915" w:type="dxa"/>
                  <w:gridSpan w:val="4"/>
                  <w:tcBorders>
                    <w:top w:val="single" w:color="auto" w:sz="4" w:space="0"/>
                    <w:left w:val="single" w:color="auto" w:sz="4" w:space="0"/>
                    <w:bottom w:val="single" w:color="auto" w:sz="4" w:space="0"/>
                    <w:right w:val="single" w:color="auto" w:sz="4" w:space="0"/>
                  </w:tcBorders>
                  <w:noWrap w:val="0"/>
                  <w:vAlign w:val="center"/>
                </w:tcPr>
                <w:p w14:paraId="50463CE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主要参数</w:t>
                  </w:r>
                </w:p>
              </w:tc>
              <w:tc>
                <w:tcPr>
                  <w:tcW w:w="1990" w:type="dxa"/>
                  <w:vMerge w:val="restart"/>
                  <w:tcBorders>
                    <w:top w:val="single" w:color="auto" w:sz="4" w:space="0"/>
                    <w:left w:val="single" w:color="auto" w:sz="4" w:space="0"/>
                    <w:bottom w:val="single" w:color="auto" w:sz="4" w:space="0"/>
                    <w:right w:val="single" w:color="auto" w:sz="4" w:space="0"/>
                  </w:tcBorders>
                  <w:noWrap w:val="0"/>
                  <w:vAlign w:val="center"/>
                </w:tcPr>
                <w:p w14:paraId="452B2979">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说明</w:t>
                  </w:r>
                </w:p>
              </w:tc>
            </w:tr>
            <w:tr w14:paraId="2017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62D9CC1E">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691EDB6D">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5A0BD683">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分辨率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BE4DD59">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色彩位深</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409AFE5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格式</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49B6BEC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文件大小</w:t>
                  </w:r>
                </w:p>
              </w:tc>
              <w:tc>
                <w:tcPr>
                  <w:tcW w:w="1990" w:type="dxa"/>
                  <w:vMerge w:val="continue"/>
                  <w:tcBorders>
                    <w:top w:val="single" w:color="auto" w:sz="4" w:space="0"/>
                    <w:left w:val="single" w:color="auto" w:sz="4" w:space="0"/>
                    <w:bottom w:val="single" w:color="auto" w:sz="4" w:space="0"/>
                    <w:right w:val="single" w:color="auto" w:sz="4" w:space="0"/>
                  </w:tcBorders>
                  <w:noWrap w:val="0"/>
                  <w:vAlign w:val="top"/>
                </w:tcPr>
                <w:p w14:paraId="6E97A20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r>
            <w:tr w14:paraId="0579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1780CFA6">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发布服务级（D）</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5C4540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文献短边≥14.8cm（A5尺寸）</w:t>
                  </w:r>
                </w:p>
              </w:tc>
              <w:tc>
                <w:tcPr>
                  <w:tcW w:w="665" w:type="dxa"/>
                  <w:vMerge w:val="restart"/>
                  <w:tcBorders>
                    <w:top w:val="single" w:color="auto" w:sz="4" w:space="0"/>
                    <w:left w:val="single" w:color="auto" w:sz="4" w:space="0"/>
                    <w:bottom w:val="single" w:color="auto" w:sz="4" w:space="0"/>
                    <w:right w:val="single" w:color="auto" w:sz="4" w:space="0"/>
                  </w:tcBorders>
                  <w:noWrap w:val="0"/>
                  <w:vAlign w:val="center"/>
                </w:tcPr>
                <w:p w14:paraId="1089F232">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原有分辨率保持不变</w:t>
                  </w:r>
                </w:p>
              </w:tc>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2BB9486C">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RGB24位</w:t>
                  </w:r>
                </w:p>
              </w:tc>
              <w:tc>
                <w:tcPr>
                  <w:tcW w:w="610" w:type="dxa"/>
                  <w:vMerge w:val="restart"/>
                  <w:tcBorders>
                    <w:top w:val="single" w:color="auto" w:sz="4" w:space="0"/>
                    <w:left w:val="single" w:color="auto" w:sz="4" w:space="0"/>
                    <w:bottom w:val="single" w:color="auto" w:sz="4" w:space="0"/>
                    <w:right w:val="single" w:color="auto" w:sz="4" w:space="0"/>
                  </w:tcBorders>
                  <w:noWrap w:val="0"/>
                  <w:vAlign w:val="center"/>
                </w:tcPr>
                <w:p w14:paraId="654AD2BC">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PDF</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14:paraId="51DB69E1">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500KB-1MB</w:t>
                  </w:r>
                </w:p>
              </w:tc>
              <w:tc>
                <w:tcPr>
                  <w:tcW w:w="1990" w:type="dxa"/>
                  <w:vMerge w:val="restart"/>
                  <w:tcBorders>
                    <w:top w:val="single" w:color="auto" w:sz="4" w:space="0"/>
                    <w:left w:val="single" w:color="auto" w:sz="4" w:space="0"/>
                    <w:bottom w:val="single" w:color="auto" w:sz="4" w:space="0"/>
                    <w:right w:val="single" w:color="auto" w:sz="4" w:space="0"/>
                  </w:tcBorders>
                  <w:noWrap w:val="0"/>
                  <w:vAlign w:val="center"/>
                </w:tcPr>
                <w:p w14:paraId="43362511">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原有分辨率即长期保存级采集参数。</w:t>
                  </w:r>
                </w:p>
                <w:p w14:paraId="22ABD627">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由无损TIFF格式，通过jpeg2000</w:t>
                  </w:r>
                </w:p>
                <w:p w14:paraId="4E73B3CF">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设定压缩因子，做有损压缩处理并转换为PDF格式。</w:t>
                  </w:r>
                </w:p>
              </w:tc>
            </w:tr>
            <w:tr w14:paraId="4833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736E2E3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9C82680">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rPr>
                      <w:rStyle w:val="10"/>
                      <w:rFonts w:hint="eastAsia" w:ascii="宋体" w:hAnsi="宋体" w:eastAsia="宋体" w:cs="宋体"/>
                      <w:i w:val="0"/>
                      <w:iCs w:val="0"/>
                      <w:color w:val="auto"/>
                      <w:kern w:val="0"/>
                      <w:sz w:val="21"/>
                      <w:szCs w:val="21"/>
                      <w:highlight w:val="none"/>
                      <w:u w:val="none"/>
                      <w:lang w:val="en-US" w:eastAsia="zh-CN" w:bidi="ar"/>
                    </w:rPr>
                  </w:pPr>
                  <w:r>
                    <w:rPr>
                      <w:rStyle w:val="10"/>
                      <w:rFonts w:hint="eastAsia" w:ascii="宋体" w:hAnsi="宋体" w:eastAsia="宋体" w:cs="宋体"/>
                      <w:i w:val="0"/>
                      <w:iCs w:val="0"/>
                      <w:color w:val="auto"/>
                      <w:kern w:val="0"/>
                      <w:sz w:val="21"/>
                      <w:szCs w:val="21"/>
                      <w:highlight w:val="none"/>
                      <w:u w:val="none"/>
                      <w:lang w:val="en-US" w:eastAsia="zh-CN" w:bidi="ar"/>
                    </w:rPr>
                    <w:t>文献短边≥21cm（A4尺寸）</w:t>
                  </w:r>
                </w:p>
              </w:tc>
              <w:tc>
                <w:tcPr>
                  <w:tcW w:w="665" w:type="dxa"/>
                  <w:vMerge w:val="continue"/>
                  <w:tcBorders>
                    <w:top w:val="single" w:color="auto" w:sz="4" w:space="0"/>
                    <w:left w:val="single" w:color="auto" w:sz="4" w:space="0"/>
                    <w:bottom w:val="single" w:color="auto" w:sz="4" w:space="0"/>
                    <w:right w:val="single" w:color="auto" w:sz="4" w:space="0"/>
                  </w:tcBorders>
                  <w:noWrap w:val="0"/>
                  <w:vAlign w:val="top"/>
                </w:tcPr>
                <w:p w14:paraId="16AE8037">
                  <w:pPr>
                    <w:pStyle w:val="12"/>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0"/>
                      <w:rFonts w:hint="eastAsia" w:ascii="宋体" w:hAnsi="宋体" w:eastAsia="宋体" w:cs="宋体"/>
                      <w:color w:val="auto"/>
                      <w:sz w:val="21"/>
                      <w:szCs w:val="21"/>
                      <w:highlight w:val="none"/>
                      <w:vertAlign w:val="baseline"/>
                      <w:lang w:val="en-US" w:eastAsia="zh-CN"/>
                    </w:rPr>
                  </w:pPr>
                </w:p>
              </w:tc>
              <w:tc>
                <w:tcPr>
                  <w:tcW w:w="810" w:type="dxa"/>
                  <w:vMerge w:val="continue"/>
                  <w:tcBorders>
                    <w:top w:val="single" w:color="auto" w:sz="4" w:space="0"/>
                    <w:left w:val="single" w:color="auto" w:sz="4" w:space="0"/>
                    <w:bottom w:val="single" w:color="auto" w:sz="4" w:space="0"/>
                    <w:right w:val="single" w:color="auto" w:sz="4" w:space="0"/>
                  </w:tcBorders>
                  <w:noWrap w:val="0"/>
                  <w:vAlign w:val="top"/>
                </w:tcPr>
                <w:p w14:paraId="4A1729BE">
                  <w:pPr>
                    <w:pStyle w:val="12"/>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0"/>
                      <w:rFonts w:hint="eastAsia" w:ascii="宋体" w:hAnsi="宋体" w:eastAsia="宋体" w:cs="宋体"/>
                      <w:color w:val="auto"/>
                      <w:sz w:val="21"/>
                      <w:szCs w:val="21"/>
                      <w:highlight w:val="none"/>
                      <w:vertAlign w:val="baseline"/>
                    </w:rPr>
                  </w:pPr>
                </w:p>
              </w:tc>
              <w:tc>
                <w:tcPr>
                  <w:tcW w:w="610" w:type="dxa"/>
                  <w:vMerge w:val="continue"/>
                  <w:tcBorders>
                    <w:top w:val="single" w:color="auto" w:sz="4" w:space="0"/>
                    <w:left w:val="single" w:color="auto" w:sz="4" w:space="0"/>
                    <w:bottom w:val="single" w:color="auto" w:sz="4" w:space="0"/>
                    <w:right w:val="single" w:color="auto" w:sz="4" w:space="0"/>
                  </w:tcBorders>
                  <w:noWrap w:val="0"/>
                  <w:vAlign w:val="top"/>
                </w:tcPr>
                <w:p w14:paraId="5F12C61A">
                  <w:pPr>
                    <w:pStyle w:val="12"/>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0"/>
                      <w:rFonts w:hint="eastAsia" w:ascii="宋体" w:hAnsi="宋体" w:eastAsia="宋体" w:cs="宋体"/>
                      <w:color w:val="auto"/>
                      <w:sz w:val="21"/>
                      <w:szCs w:val="21"/>
                      <w:highlight w:val="none"/>
                      <w:vertAlign w:val="baseline"/>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top"/>
                </w:tcPr>
                <w:p w14:paraId="35BDDEDC">
                  <w:pPr>
                    <w:pStyle w:val="12"/>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0"/>
                      <w:rFonts w:hint="eastAsia" w:ascii="宋体" w:hAnsi="宋体" w:eastAsia="宋体" w:cs="宋体"/>
                      <w:color w:val="auto"/>
                      <w:sz w:val="21"/>
                      <w:szCs w:val="21"/>
                      <w:highlight w:val="none"/>
                      <w:vertAlign w:val="baseline"/>
                    </w:rPr>
                  </w:pPr>
                </w:p>
              </w:tc>
              <w:tc>
                <w:tcPr>
                  <w:tcW w:w="1990" w:type="dxa"/>
                  <w:vMerge w:val="continue"/>
                  <w:tcBorders>
                    <w:top w:val="single" w:color="auto" w:sz="4" w:space="0"/>
                    <w:left w:val="single" w:color="auto" w:sz="4" w:space="0"/>
                    <w:bottom w:val="single" w:color="auto" w:sz="4" w:space="0"/>
                    <w:right w:val="single" w:color="auto" w:sz="4" w:space="0"/>
                  </w:tcBorders>
                  <w:noWrap w:val="0"/>
                  <w:vAlign w:val="top"/>
                </w:tcPr>
                <w:p w14:paraId="2735A0A8">
                  <w:pPr>
                    <w:pStyle w:val="12"/>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10"/>
                      <w:rFonts w:hint="eastAsia" w:ascii="宋体" w:hAnsi="宋体" w:eastAsia="宋体" w:cs="宋体"/>
                      <w:color w:val="auto"/>
                      <w:sz w:val="21"/>
                      <w:szCs w:val="21"/>
                      <w:highlight w:val="none"/>
                      <w:vertAlign w:val="baseline"/>
                      <w:lang w:val="en-US" w:eastAsia="zh-CN"/>
                    </w:rPr>
                  </w:pPr>
                </w:p>
              </w:tc>
            </w:tr>
          </w:tbl>
          <w:p w14:paraId="7B240AB5">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sz w:val="21"/>
                <w:szCs w:val="21"/>
                <w:highlight w:val="none"/>
                <w:lang w:val="en-US" w:eastAsia="zh-CN"/>
              </w:rPr>
            </w:pPr>
            <w:r>
              <w:rPr>
                <w:rStyle w:val="10"/>
                <w:rFonts w:hint="eastAsia" w:ascii="宋体" w:hAnsi="宋体" w:eastAsia="宋体" w:cs="宋体"/>
                <w:b w:val="0"/>
                <w:bCs w:val="0"/>
                <w:color w:val="auto"/>
                <w:sz w:val="21"/>
                <w:szCs w:val="21"/>
                <w:highlight w:val="none"/>
                <w:lang w:val="en-US" w:eastAsia="zh-CN"/>
              </w:rPr>
              <w:t>3.2.1格式转换</w:t>
            </w:r>
          </w:p>
          <w:p w14:paraId="412AEC5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由无损TIFF格式按jpeg2000压缩方法，在评估文献的纸张颜色、文字大小、清晰度、排版方式等基础上，选择适宜的压缩因子，压缩处理后转换为PDF格式。</w:t>
            </w:r>
          </w:p>
          <w:p w14:paraId="38EC4B9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sz w:val="21"/>
                <w:szCs w:val="21"/>
                <w:highlight w:val="none"/>
                <w:lang w:val="en-US" w:eastAsia="zh-CN"/>
              </w:rPr>
            </w:pPr>
            <w:r>
              <w:rPr>
                <w:rStyle w:val="10"/>
                <w:rFonts w:hint="eastAsia" w:ascii="宋体" w:hAnsi="宋体" w:eastAsia="宋体" w:cs="宋体"/>
                <w:b w:val="0"/>
                <w:bCs w:val="0"/>
                <w:color w:val="auto"/>
                <w:sz w:val="21"/>
                <w:szCs w:val="21"/>
                <w:highlight w:val="none"/>
                <w:lang w:val="en-US" w:eastAsia="zh-CN"/>
              </w:rPr>
              <w:t>3.2.2图像切分</w:t>
            </w:r>
          </w:p>
          <w:p w14:paraId="26623F9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sz w:val="21"/>
                <w:szCs w:val="21"/>
                <w:highlight w:val="none"/>
                <w:lang w:val="en-US" w:eastAsia="zh-CN"/>
              </w:rPr>
            </w:pPr>
            <w:r>
              <w:rPr>
                <w:rStyle w:val="10"/>
                <w:rFonts w:hint="eastAsia" w:ascii="宋体" w:hAnsi="宋体" w:eastAsia="宋体" w:cs="宋体"/>
                <w:b w:val="0"/>
                <w:bCs w:val="0"/>
                <w:color w:val="auto"/>
                <w:sz w:val="21"/>
                <w:szCs w:val="21"/>
                <w:highlight w:val="none"/>
                <w:lang w:val="en-US" w:eastAsia="zh-CN"/>
              </w:rPr>
              <w:t>（1）半叶图像文件处理。通常数字化采集的古籍图像为双半叶TIFF文件，PDF文件须按半叶图像进行切分保存。切分图像分辨率不做任何改变，以书脊中线为切分线，将原有的半叶处理为独立的页面。书脊右侧的半叶为页面A，书脊左侧的半叶为页面B。切分后，包含古籍版框和文字的图像信息应完整无损，并按命名规则对切分文件进行命名。</w:t>
            </w:r>
          </w:p>
          <w:p w14:paraId="3EFBEF3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b w:val="0"/>
                <w:bCs w:val="0"/>
                <w:color w:val="auto"/>
                <w:kern w:val="2"/>
                <w:sz w:val="21"/>
                <w:szCs w:val="21"/>
                <w:highlight w:val="none"/>
                <w:lang w:val="en-US" w:eastAsia="zh-CN" w:bidi="ar-SA"/>
              </w:rPr>
            </w:pPr>
            <w:r>
              <w:rPr>
                <w:rStyle w:val="10"/>
                <w:rFonts w:hint="eastAsia" w:ascii="宋体" w:hAnsi="宋体" w:eastAsia="宋体" w:cs="宋体"/>
                <w:b w:val="0"/>
                <w:bCs w:val="0"/>
                <w:color w:val="auto"/>
                <w:sz w:val="21"/>
                <w:szCs w:val="21"/>
                <w:highlight w:val="none"/>
                <w:lang w:val="en-US" w:eastAsia="zh-CN"/>
              </w:rPr>
              <w:t>（2）古籍封面文件处理。古籍封面的TIFF文件带有色卡和标尺。为保持全册古籍图像画面大小一致</w:t>
            </w:r>
            <w:r>
              <w:rPr>
                <w:rStyle w:val="10"/>
                <w:rFonts w:hint="eastAsia" w:ascii="宋体" w:hAnsi="宋体" w:eastAsia="宋体" w:cs="宋体"/>
                <w:b w:val="0"/>
                <w:bCs w:val="0"/>
                <w:color w:val="auto"/>
                <w:kern w:val="2"/>
                <w:sz w:val="21"/>
                <w:szCs w:val="21"/>
                <w:highlight w:val="none"/>
                <w:lang w:val="en-US" w:eastAsia="zh-CN" w:bidi="ar-SA"/>
              </w:rPr>
              <w:t>，须对封面PDF文件进行色卡和标尺的裁切处理，裁切后只保留古籍封面。</w:t>
            </w:r>
          </w:p>
          <w:p w14:paraId="556C7375">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rPr>
            </w:pPr>
          </w:p>
        </w:tc>
      </w:tr>
      <w:tr w14:paraId="2A407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691" w:type="dxa"/>
            <w:noWrap w:val="0"/>
            <w:vAlign w:val="center"/>
          </w:tcPr>
          <w:p w14:paraId="33480CC1">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4</w:t>
            </w:r>
          </w:p>
        </w:tc>
        <w:tc>
          <w:tcPr>
            <w:tcW w:w="1150" w:type="dxa"/>
            <w:noWrap w:val="0"/>
            <w:vAlign w:val="center"/>
          </w:tcPr>
          <w:p w14:paraId="54F82997">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元数据著录</w:t>
            </w:r>
          </w:p>
        </w:tc>
        <w:tc>
          <w:tcPr>
            <w:tcW w:w="7179" w:type="dxa"/>
            <w:noWrap w:val="0"/>
            <w:vAlign w:val="top"/>
          </w:tcPr>
          <w:p w14:paraId="6174827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b w:val="0"/>
                <w:bCs w:val="0"/>
                <w:color w:val="auto"/>
                <w:sz w:val="21"/>
                <w:szCs w:val="21"/>
                <w:highlight w:val="none"/>
                <w:lang w:val="en-US" w:eastAsia="zh-CN"/>
              </w:rPr>
            </w:pPr>
            <w:r>
              <w:rPr>
                <w:rStyle w:val="10"/>
                <w:rFonts w:hint="eastAsia" w:ascii="宋体" w:hAnsi="宋体" w:eastAsia="宋体" w:cs="宋体"/>
                <w:b w:val="0"/>
                <w:bCs w:val="0"/>
                <w:color w:val="auto"/>
                <w:sz w:val="21"/>
                <w:szCs w:val="21"/>
                <w:highlight w:val="none"/>
                <w:lang w:val="en-US" w:eastAsia="zh-CN"/>
              </w:rPr>
              <w:t>4.1登记内容</w:t>
            </w:r>
          </w:p>
          <w:p w14:paraId="131359D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根据“文献整理登记”项目的内容和要求，客观、准确记录文献存藏现状。古籍文献整理登记项目共18项。具体参照《全国智慧图书馆体系建设：古籍数字化和知识标引规范手册（暂行）》执行。</w:t>
            </w:r>
          </w:p>
          <w:p w14:paraId="532AA7B3">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4.2</w:t>
            </w:r>
            <w:r>
              <w:rPr>
                <w:rStyle w:val="10"/>
                <w:rFonts w:hint="eastAsia" w:ascii="宋体" w:hAnsi="宋体" w:eastAsia="宋体" w:cs="宋体"/>
                <w:color w:val="auto"/>
                <w:sz w:val="21"/>
                <w:szCs w:val="21"/>
                <w:highlight w:val="none"/>
              </w:rPr>
              <w:t>元数据制作，分别按文献整理登记、描述元数据、管理元数据等三部分工作，制作6张库表，包括文献整理登记表（全书）、文献整理登记表（各卷）</w:t>
            </w:r>
            <w:r>
              <w:rPr>
                <w:rStyle w:val="10"/>
                <w:rFonts w:hint="eastAsia" w:ascii="宋体" w:hAnsi="宋体" w:eastAsia="宋体" w:cs="宋体"/>
                <w:color w:val="auto"/>
                <w:sz w:val="21"/>
                <w:szCs w:val="21"/>
                <w:highlight w:val="none"/>
                <w:lang w:eastAsia="zh-CN"/>
              </w:rPr>
              <w:t>、</w:t>
            </w:r>
            <w:r>
              <w:rPr>
                <w:rStyle w:val="10"/>
                <w:rFonts w:hint="eastAsia" w:ascii="宋体" w:hAnsi="宋体" w:eastAsia="宋体" w:cs="宋体"/>
                <w:color w:val="auto"/>
                <w:sz w:val="21"/>
                <w:szCs w:val="21"/>
                <w:highlight w:val="none"/>
              </w:rPr>
              <w:t>书目数据表、卷目数据表</w:t>
            </w:r>
            <w:r>
              <w:rPr>
                <w:rStyle w:val="10"/>
                <w:rFonts w:hint="eastAsia" w:ascii="宋体" w:hAnsi="宋体" w:eastAsia="宋体" w:cs="宋体"/>
                <w:color w:val="auto"/>
                <w:sz w:val="21"/>
                <w:szCs w:val="21"/>
                <w:highlight w:val="none"/>
                <w:lang w:eastAsia="zh-CN"/>
              </w:rPr>
              <w:t>、</w:t>
            </w:r>
            <w:r>
              <w:rPr>
                <w:rStyle w:val="10"/>
                <w:rFonts w:hint="eastAsia" w:ascii="宋体" w:hAnsi="宋体" w:eastAsia="宋体" w:cs="宋体"/>
                <w:color w:val="auto"/>
                <w:sz w:val="21"/>
                <w:szCs w:val="21"/>
                <w:highlight w:val="none"/>
              </w:rPr>
              <w:t>外字表、管理信息表。表格要求必须</w:t>
            </w:r>
            <w:r>
              <w:rPr>
                <w:rStyle w:val="10"/>
                <w:rFonts w:hint="eastAsia" w:ascii="宋体" w:hAnsi="宋体" w:eastAsia="宋体" w:cs="宋体"/>
                <w:color w:val="auto"/>
                <w:sz w:val="21"/>
                <w:szCs w:val="21"/>
                <w:highlight w:val="none"/>
                <w:lang w:val="en-US" w:eastAsia="zh-CN"/>
              </w:rPr>
              <w:t>按照</w:t>
            </w:r>
            <w:r>
              <w:rPr>
                <w:rStyle w:val="10"/>
                <w:rFonts w:hint="eastAsia" w:ascii="宋体" w:hAnsi="宋体" w:eastAsia="宋体" w:cs="宋体"/>
                <w:color w:val="auto"/>
                <w:sz w:val="21"/>
                <w:szCs w:val="21"/>
                <w:highlight w:val="none"/>
              </w:rPr>
              <w:t>《</w:t>
            </w:r>
            <w:r>
              <w:rPr>
                <w:rStyle w:val="10"/>
                <w:rFonts w:hint="eastAsia" w:ascii="宋体" w:hAnsi="宋体" w:eastAsia="宋体" w:cs="宋体"/>
                <w:color w:val="auto"/>
                <w:sz w:val="21"/>
                <w:szCs w:val="21"/>
                <w:highlight w:val="none"/>
                <w:lang w:val="en-US" w:eastAsia="zh-CN"/>
              </w:rPr>
              <w:t>全国智慧图书馆体系建设：古籍数字化和知识标引规范手册</w:t>
            </w:r>
            <w:r>
              <w:rPr>
                <w:rStyle w:val="10"/>
                <w:rFonts w:hint="eastAsia" w:ascii="宋体" w:hAnsi="宋体" w:eastAsia="宋体" w:cs="宋体"/>
                <w:color w:val="auto"/>
                <w:sz w:val="21"/>
                <w:szCs w:val="21"/>
                <w:highlight w:val="none"/>
              </w:rPr>
              <w:t>》</w:t>
            </w:r>
            <w:r>
              <w:rPr>
                <w:rStyle w:val="10"/>
                <w:rFonts w:hint="eastAsia" w:ascii="宋体" w:hAnsi="宋体" w:eastAsia="宋体" w:cs="宋体"/>
                <w:color w:val="auto"/>
                <w:sz w:val="21"/>
                <w:szCs w:val="21"/>
                <w:highlight w:val="none"/>
                <w:lang w:val="en-US" w:eastAsia="zh-CN"/>
              </w:rPr>
              <w:t>（2024年暂行版）的标准进行。</w:t>
            </w:r>
          </w:p>
          <w:p w14:paraId="0D05A00B">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4.3</w:t>
            </w:r>
            <w:r>
              <w:rPr>
                <w:rStyle w:val="10"/>
                <w:rFonts w:hint="eastAsia" w:ascii="宋体" w:hAnsi="宋体" w:eastAsia="宋体" w:cs="宋体"/>
                <w:color w:val="auto"/>
                <w:sz w:val="21"/>
                <w:szCs w:val="21"/>
                <w:highlight w:val="none"/>
              </w:rPr>
              <w:t>所有数据库表格均用通行繁体字填写。</w:t>
            </w:r>
            <w:r>
              <w:rPr>
                <w:rStyle w:val="10"/>
                <w:rFonts w:hint="eastAsia" w:ascii="宋体" w:hAnsi="宋体" w:eastAsia="宋体" w:cs="宋体"/>
                <w:color w:val="auto"/>
                <w:sz w:val="21"/>
                <w:szCs w:val="21"/>
                <w:highlight w:val="none"/>
                <w:lang w:val="en-US" w:eastAsia="zh-CN"/>
              </w:rPr>
              <w:t>遵照XML1.0规范，使用UTF-8编码方式、</w:t>
            </w:r>
            <w:r>
              <w:rPr>
                <w:rStyle w:val="10"/>
                <w:rFonts w:hint="eastAsia" w:ascii="宋体" w:hAnsi="宋体" w:eastAsia="宋体" w:cs="宋体"/>
                <w:color w:val="auto"/>
                <w:sz w:val="21"/>
                <w:szCs w:val="21"/>
                <w:highlight w:val="none"/>
              </w:rPr>
              <w:t>Unicode5.0</w:t>
            </w:r>
            <w:r>
              <w:rPr>
                <w:rStyle w:val="10"/>
                <w:rFonts w:hint="eastAsia" w:ascii="宋体" w:hAnsi="宋体" w:eastAsia="宋体" w:cs="宋体"/>
                <w:color w:val="auto"/>
                <w:sz w:val="21"/>
                <w:szCs w:val="21"/>
                <w:highlight w:val="none"/>
                <w:lang w:val="en-US" w:eastAsia="zh-CN"/>
              </w:rPr>
              <w:t>字符集</w:t>
            </w:r>
            <w:r>
              <w:rPr>
                <w:rStyle w:val="10"/>
                <w:rFonts w:hint="eastAsia" w:ascii="宋体" w:hAnsi="宋体" w:eastAsia="宋体" w:cs="宋体"/>
                <w:color w:val="auto"/>
                <w:sz w:val="21"/>
                <w:szCs w:val="21"/>
                <w:highlight w:val="none"/>
              </w:rPr>
              <w:t>。</w:t>
            </w:r>
            <w:r>
              <w:rPr>
                <w:rStyle w:val="10"/>
                <w:rFonts w:hint="eastAsia" w:ascii="宋体" w:hAnsi="宋体" w:eastAsia="宋体" w:cs="宋体"/>
                <w:color w:val="auto"/>
                <w:sz w:val="21"/>
                <w:szCs w:val="21"/>
                <w:highlight w:val="none"/>
                <w:lang w:eastAsia="zh-CN"/>
              </w:rPr>
              <w:t>“</w:t>
            </w:r>
            <w:r>
              <w:rPr>
                <w:rStyle w:val="10"/>
                <w:rFonts w:hint="eastAsia" w:ascii="宋体" w:hAnsi="宋体" w:eastAsia="宋体" w:cs="宋体"/>
                <w:color w:val="auto"/>
                <w:sz w:val="21"/>
                <w:szCs w:val="21"/>
                <w:highlight w:val="none"/>
                <w:lang w:val="en-US" w:eastAsia="zh-CN"/>
              </w:rPr>
              <w:t>题名</w:t>
            </w:r>
            <w:r>
              <w:rPr>
                <w:rStyle w:val="10"/>
                <w:rFonts w:hint="eastAsia" w:ascii="宋体" w:hAnsi="宋体" w:eastAsia="宋体" w:cs="宋体"/>
                <w:color w:val="auto"/>
                <w:sz w:val="21"/>
                <w:szCs w:val="21"/>
                <w:highlight w:val="none"/>
                <w:lang w:eastAsia="zh-CN"/>
              </w:rPr>
              <w:t>”</w:t>
            </w:r>
            <w:r>
              <w:rPr>
                <w:rStyle w:val="10"/>
                <w:rFonts w:hint="eastAsia" w:ascii="宋体" w:hAnsi="宋体" w:eastAsia="宋体" w:cs="宋体"/>
                <w:color w:val="auto"/>
                <w:sz w:val="21"/>
                <w:szCs w:val="21"/>
                <w:highlight w:val="none"/>
                <w:lang w:val="en-US" w:eastAsia="zh-CN"/>
              </w:rPr>
              <w:t>元素中的卷数、“日期”元素中的年号纪年应使用汉文数字著录。其他如数量、开本尺寸和公元纪年等数字均使用阿拉伯数字著录。</w:t>
            </w:r>
          </w:p>
          <w:p w14:paraId="0EE7A3AD">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4.4著录的古籍基本元素有17个，具体参照《全国智慧图书馆体系建设：古籍数字化和知识标引规范手册（暂行）》执行。</w:t>
            </w:r>
          </w:p>
          <w:p w14:paraId="3397D62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4.5表名称和字段内容逐项检查，覆盖面100%。</w:t>
            </w:r>
          </w:p>
          <w:p w14:paraId="0C83CB1B">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rPr>
            </w:pPr>
            <w:r>
              <w:rPr>
                <w:rStyle w:val="10"/>
                <w:rFonts w:hint="eastAsia" w:ascii="宋体" w:hAnsi="宋体" w:eastAsia="宋体" w:cs="宋体"/>
                <w:color w:val="auto"/>
                <w:sz w:val="21"/>
                <w:szCs w:val="21"/>
                <w:highlight w:val="none"/>
                <w:lang w:val="en-US" w:eastAsia="zh-CN"/>
              </w:rPr>
              <w:t>4.6文字处理</w:t>
            </w:r>
            <w:r>
              <w:rPr>
                <w:rStyle w:val="10"/>
                <w:rFonts w:hint="eastAsia" w:ascii="宋体" w:hAnsi="宋体" w:eastAsia="宋体" w:cs="宋体"/>
                <w:color w:val="auto"/>
                <w:sz w:val="21"/>
                <w:szCs w:val="21"/>
                <w:highlight w:val="none"/>
              </w:rPr>
              <w:t>错误率不超过0.3‰。</w:t>
            </w:r>
          </w:p>
        </w:tc>
      </w:tr>
      <w:tr w14:paraId="34F79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91" w:type="dxa"/>
            <w:noWrap w:val="0"/>
            <w:vAlign w:val="center"/>
          </w:tcPr>
          <w:p w14:paraId="79C9B0F6">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5</w:t>
            </w:r>
          </w:p>
        </w:tc>
        <w:tc>
          <w:tcPr>
            <w:tcW w:w="1150" w:type="dxa"/>
            <w:noWrap w:val="0"/>
            <w:vAlign w:val="center"/>
          </w:tcPr>
          <w:p w14:paraId="68021E88">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结构</w:t>
            </w:r>
            <w:r>
              <w:rPr>
                <w:rStyle w:val="10"/>
                <w:rFonts w:hint="eastAsia" w:ascii="宋体" w:hAnsi="宋体" w:eastAsia="宋体" w:cs="Times New Roman"/>
                <w:color w:val="auto"/>
                <w:kern w:val="2"/>
                <w:sz w:val="21"/>
                <w:szCs w:val="21"/>
                <w:highlight w:val="none"/>
                <w:lang w:val="en-US" w:eastAsia="zh-CN" w:bidi="ar-SA"/>
              </w:rPr>
              <w:t>标引</w:t>
            </w:r>
          </w:p>
        </w:tc>
        <w:tc>
          <w:tcPr>
            <w:tcW w:w="7179" w:type="dxa"/>
            <w:noWrap w:val="0"/>
            <w:vAlign w:val="top"/>
          </w:tcPr>
          <w:p w14:paraId="09BE3D4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标引须完成三级类目标引，做到卷目篇名数据标引，结构数据标引内容包括但不限于：函套、书衣、封面（封一、封二、书脊）、牌记、书名页、 出版说明、版权页、序、前言、凡例、目次、正文卷目、插图、夹纸、签条、校勘、附录、索引、插页、后记（跋）、封底等。</w:t>
            </w:r>
          </w:p>
        </w:tc>
      </w:tr>
      <w:tr w14:paraId="4E107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691" w:type="dxa"/>
            <w:noWrap w:val="0"/>
            <w:vAlign w:val="center"/>
          </w:tcPr>
          <w:p w14:paraId="2516B638">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6</w:t>
            </w:r>
          </w:p>
        </w:tc>
        <w:tc>
          <w:tcPr>
            <w:tcW w:w="1150" w:type="dxa"/>
            <w:noWrap w:val="0"/>
            <w:vAlign w:val="center"/>
          </w:tcPr>
          <w:p w14:paraId="5DD8DBC6">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全文</w:t>
            </w:r>
            <w:r>
              <w:rPr>
                <w:rStyle w:val="10"/>
                <w:rFonts w:hint="eastAsia" w:ascii="宋体" w:hAnsi="宋体" w:cs="Times New Roman"/>
                <w:color w:val="auto"/>
                <w:kern w:val="2"/>
                <w:sz w:val="21"/>
                <w:szCs w:val="21"/>
                <w:highlight w:val="none"/>
                <w:lang w:val="en-US" w:eastAsia="zh-CN" w:bidi="ar-SA"/>
              </w:rPr>
              <w:t>AI</w:t>
            </w:r>
            <w:r>
              <w:rPr>
                <w:rStyle w:val="10"/>
                <w:rFonts w:hint="eastAsia" w:ascii="宋体" w:hAnsi="宋体" w:eastAsia="宋体" w:cs="Times New Roman"/>
                <w:color w:val="auto"/>
                <w:kern w:val="2"/>
                <w:sz w:val="21"/>
                <w:szCs w:val="21"/>
                <w:highlight w:val="none"/>
                <w:lang w:val="en-US" w:eastAsia="zh-CN" w:bidi="ar-SA"/>
              </w:rPr>
              <w:t>识别（OCR）</w:t>
            </w:r>
          </w:p>
        </w:tc>
        <w:tc>
          <w:tcPr>
            <w:tcW w:w="7179" w:type="dxa"/>
            <w:noWrap w:val="0"/>
            <w:vAlign w:val="top"/>
          </w:tcPr>
          <w:p w14:paraId="18C337B0">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lang w:val="en-US" w:eastAsia="zh-CN"/>
              </w:rPr>
            </w:pPr>
            <w:r>
              <w:rPr>
                <w:rStyle w:val="10"/>
                <w:rFonts w:hint="eastAsia" w:ascii="宋体" w:hAnsi="宋体" w:cs="宋体"/>
                <w:color w:val="auto"/>
                <w:sz w:val="21"/>
                <w:szCs w:val="21"/>
                <w:highlight w:val="none"/>
                <w:lang w:val="en-US" w:eastAsia="zh-CN"/>
              </w:rPr>
              <w:t>6</w:t>
            </w:r>
            <w:r>
              <w:rPr>
                <w:rStyle w:val="10"/>
                <w:rFonts w:hint="eastAsia" w:ascii="宋体" w:hAnsi="宋体" w:eastAsia="宋体" w:cs="宋体"/>
                <w:color w:val="auto"/>
                <w:sz w:val="21"/>
                <w:szCs w:val="21"/>
                <w:highlight w:val="none"/>
                <w:lang w:val="en-US" w:eastAsia="zh-CN"/>
              </w:rPr>
              <w:t>.1对需要全文识别的图像文件进行处理，对识别结果进行校对、修改，文字与图像保持一致。</w:t>
            </w:r>
          </w:p>
          <w:p w14:paraId="245E3AC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eastAsia" w:ascii="宋体" w:hAnsi="宋体" w:eastAsia="宋体" w:cs="宋体"/>
                <w:color w:val="auto"/>
                <w:sz w:val="21"/>
                <w:szCs w:val="21"/>
                <w:highlight w:val="none"/>
                <w:lang w:val="en-US" w:eastAsia="zh-CN"/>
              </w:rPr>
            </w:pPr>
            <w:r>
              <w:rPr>
                <w:rStyle w:val="10"/>
                <w:rFonts w:hint="eastAsia" w:ascii="宋体" w:hAnsi="宋体" w:cs="宋体"/>
                <w:color w:val="auto"/>
                <w:sz w:val="21"/>
                <w:szCs w:val="21"/>
                <w:highlight w:val="none"/>
                <w:lang w:val="en-US" w:eastAsia="zh-CN"/>
              </w:rPr>
              <w:t>6</w:t>
            </w:r>
            <w:r>
              <w:rPr>
                <w:rStyle w:val="10"/>
                <w:rFonts w:hint="eastAsia" w:ascii="宋体" w:hAnsi="宋体" w:eastAsia="宋体" w:cs="宋体"/>
                <w:color w:val="auto"/>
                <w:sz w:val="21"/>
                <w:szCs w:val="21"/>
                <w:highlight w:val="none"/>
                <w:lang w:val="en-US" w:eastAsia="zh-CN"/>
              </w:rPr>
              <w:t>.2字符编码处理应符合GB18030的规定。识别的图片文字含文字坐标信息，能进行版式还原。</w:t>
            </w:r>
          </w:p>
        </w:tc>
      </w:tr>
      <w:tr w14:paraId="3E1BB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91" w:type="dxa"/>
            <w:noWrap w:val="0"/>
            <w:vAlign w:val="center"/>
          </w:tcPr>
          <w:p w14:paraId="1231F4C8">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7</w:t>
            </w:r>
          </w:p>
        </w:tc>
        <w:tc>
          <w:tcPr>
            <w:tcW w:w="1150" w:type="dxa"/>
            <w:noWrap w:val="0"/>
            <w:vAlign w:val="center"/>
          </w:tcPr>
          <w:p w14:paraId="305F815F">
            <w:pPr>
              <w:pStyle w:val="12"/>
              <w:widowControl w:val="0"/>
              <w:shd w:val="clear" w:color="auto" w:fill="auto"/>
              <w:spacing w:line="240" w:lineRule="auto"/>
              <w:jc w:val="center"/>
              <w:rPr>
                <w:rStyle w:val="10"/>
                <w:rFonts w:hint="default" w:ascii="宋体" w:hAnsi="宋体" w:eastAsia="宋体" w:cs="Times New Roman"/>
                <w:color w:val="auto"/>
                <w:kern w:val="2"/>
                <w:sz w:val="21"/>
                <w:szCs w:val="21"/>
                <w:highlight w:val="none"/>
                <w:lang w:val="en-US" w:eastAsia="zh-CN" w:bidi="ar-SA"/>
              </w:rPr>
            </w:pPr>
            <w:r>
              <w:rPr>
                <w:rStyle w:val="10"/>
                <w:rFonts w:hint="eastAsia" w:ascii="宋体" w:hAnsi="宋体" w:eastAsia="宋体" w:cs="宋体"/>
                <w:color w:val="auto"/>
                <w:sz w:val="21"/>
                <w:szCs w:val="21"/>
                <w:highlight w:val="none"/>
                <w:lang w:val="en-US" w:eastAsia="zh-CN"/>
              </w:rPr>
              <w:t>双层</w:t>
            </w:r>
            <w:r>
              <w:rPr>
                <w:rStyle w:val="10"/>
                <w:rFonts w:hint="eastAsia" w:ascii="宋体" w:hAnsi="宋体" w:cs="Times New Roman"/>
                <w:color w:val="auto"/>
                <w:kern w:val="2"/>
                <w:sz w:val="21"/>
                <w:szCs w:val="21"/>
                <w:highlight w:val="none"/>
                <w:lang w:val="en-US" w:eastAsia="zh-CN" w:bidi="ar-SA"/>
              </w:rPr>
              <w:t>制作PDF</w:t>
            </w:r>
          </w:p>
        </w:tc>
        <w:tc>
          <w:tcPr>
            <w:tcW w:w="7179" w:type="dxa"/>
            <w:noWrap w:val="0"/>
            <w:vAlign w:val="top"/>
          </w:tcPr>
          <w:p w14:paraId="2036F4A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default" w:ascii="Calibri" w:hAnsi="Calibri" w:eastAsia="宋体" w:cs="Times New Roman"/>
                <w:szCs w:val="21"/>
                <w:highlight w:val="none"/>
                <w:lang w:val="en-US" w:eastAsia="zh-CN"/>
              </w:rPr>
            </w:pPr>
            <w:r>
              <w:rPr>
                <w:rStyle w:val="10"/>
                <w:rFonts w:hint="eastAsia" w:ascii="宋体" w:hAnsi="宋体" w:eastAsia="宋体" w:cs="宋体"/>
                <w:color w:val="auto"/>
                <w:sz w:val="21"/>
                <w:szCs w:val="21"/>
                <w:highlight w:val="none"/>
                <w:lang w:val="en-US" w:eastAsia="zh-CN"/>
              </w:rPr>
              <w:t>按照古籍数字化标准，对数字化扫描加工的古籍文件生成对应的双层PDF。</w:t>
            </w:r>
          </w:p>
        </w:tc>
      </w:tr>
      <w:tr w14:paraId="73E7E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691" w:type="dxa"/>
            <w:noWrap w:val="0"/>
            <w:vAlign w:val="center"/>
          </w:tcPr>
          <w:p w14:paraId="23E810B0">
            <w:pPr>
              <w:pStyle w:val="12"/>
              <w:widowControl w:val="0"/>
              <w:shd w:val="clear" w:color="auto" w:fill="auto"/>
              <w:spacing w:line="240" w:lineRule="auto"/>
              <w:jc w:val="center"/>
              <w:rPr>
                <w:rStyle w:val="10"/>
                <w:rFonts w:hint="eastAsia"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8</w:t>
            </w:r>
          </w:p>
        </w:tc>
        <w:tc>
          <w:tcPr>
            <w:tcW w:w="1150" w:type="dxa"/>
            <w:noWrap w:val="0"/>
            <w:vAlign w:val="center"/>
          </w:tcPr>
          <w:p w14:paraId="44EE9C19">
            <w:pPr>
              <w:pStyle w:val="12"/>
              <w:widowControl w:val="0"/>
              <w:shd w:val="clear" w:color="auto" w:fill="auto"/>
              <w:spacing w:line="240" w:lineRule="auto"/>
              <w:jc w:val="center"/>
              <w:rPr>
                <w:rStyle w:val="10"/>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rPr>
              <w:t>古籍</w:t>
            </w:r>
            <w:r>
              <w:rPr>
                <w:rFonts w:hint="eastAsia" w:ascii="宋体" w:hAnsi="宋体" w:cs="宋体"/>
                <w:color w:val="auto"/>
                <w:lang w:val="en-US" w:eastAsia="zh-CN"/>
              </w:rPr>
              <w:t>数据库展示</w:t>
            </w:r>
            <w:r>
              <w:rPr>
                <w:rFonts w:hint="eastAsia" w:ascii="宋体" w:hAnsi="宋体" w:cs="宋体"/>
                <w:color w:val="auto"/>
              </w:rPr>
              <w:t>平台</w:t>
            </w:r>
          </w:p>
        </w:tc>
        <w:tc>
          <w:tcPr>
            <w:tcW w:w="7179" w:type="dxa"/>
            <w:noWrap w:val="0"/>
            <w:vAlign w:val="top"/>
          </w:tcPr>
          <w:p w14:paraId="103BC57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2" w:firstLineChars="200"/>
              <w:jc w:val="left"/>
              <w:rPr>
                <w:rStyle w:val="10"/>
                <w:rFonts w:hint="default" w:ascii="宋体" w:hAnsi="宋体" w:eastAsia="宋体" w:cs="宋体"/>
                <w:b/>
                <w:bCs/>
                <w:color w:val="auto"/>
                <w:sz w:val="21"/>
                <w:szCs w:val="21"/>
                <w:highlight w:val="none"/>
                <w:lang w:val="en-US" w:eastAsia="zh-CN"/>
              </w:rPr>
            </w:pPr>
            <w:r>
              <w:rPr>
                <w:rStyle w:val="10"/>
                <w:rFonts w:hint="eastAsia" w:ascii="宋体" w:hAnsi="宋体" w:cs="宋体"/>
                <w:b/>
                <w:bCs/>
                <w:color w:val="auto"/>
                <w:sz w:val="21"/>
                <w:szCs w:val="21"/>
                <w:highlight w:val="none"/>
                <w:lang w:val="en-US" w:eastAsia="zh-CN"/>
              </w:rPr>
              <w:t>8.1 PC端服务要求：</w:t>
            </w:r>
          </w:p>
          <w:p w14:paraId="7DE1ECF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平台提供古籍元数据、古籍图片对象数据及内容数据阅读页面的展示，提供数据导航、数据检索、智能推荐服务等。平台可以为不同专题资源提供个性化展示。</w:t>
            </w:r>
          </w:p>
          <w:p w14:paraId="0AC5058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▲提供古籍书目数据的集中展示，形成古籍总目库。</w:t>
            </w:r>
          </w:p>
          <w:p w14:paraId="36CC037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▲平台提供古籍著录数据展示、阅读功能展示、古籍资源检索、用户中心等多模块功能。</w:t>
            </w:r>
          </w:p>
          <w:p w14:paraId="1EB6FEC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元数据著录展示：提供字段信息展示，根据实际需求展示各字段信息，可隐藏或展开信息，管理员可自行设置展示字段；提供目录多级展示，可从目录跳转到全文阅读页。对古籍数据类别（经史子集丛），著者，年代（唐宋元明清），版本（刻本、抄本、石印本、活字本、油印本、稿本、刊本）。</w:t>
            </w:r>
          </w:p>
          <w:p w14:paraId="5831D88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★古籍阅读功能展示：主要包括目录结构、原文图像、OCR识别的文本三部分，皆可根据数据情况展示功能。阅读器功能包含有全文检索、繁简体转换、句读、收藏、书签、笔记、版式还原等工具。</w:t>
            </w:r>
          </w:p>
          <w:p w14:paraId="70ACE61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提供继续阅读记忆功能。</w:t>
            </w:r>
          </w:p>
          <w:p w14:paraId="4CB8C20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目录支持跳转章节和伸缩。原文图像支持放大缩小，具有放大镜功能。</w:t>
            </w:r>
          </w:p>
          <w:p w14:paraId="43FAF99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识别文本提供原文对照；提供划字、词定位原文功能；支持划词查询；文字检索支持种/卷内的全文检索，返回所在页号、原文文字摘录和检索词高亮的结果列表，支持跳转到相应页面查看；支持读者勘误及意见反馈。</w:t>
            </w:r>
          </w:p>
          <w:p w14:paraId="61CBFD6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支持多分类途径展示古籍文献。提供二级导航目录。</w:t>
            </w:r>
          </w:p>
          <w:p w14:paraId="3331D049">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支持图文对照阅读、文字识别、复制、粘贴，书签、读书笔记。</w:t>
            </w:r>
          </w:p>
          <w:p w14:paraId="5CA8E2C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支持限定字数的全文文字复制功能。</w:t>
            </w:r>
          </w:p>
          <w:p w14:paraId="4DA0AC9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添加指定水印功能。平台提供可配置的水印信息，支持对水印的不透明度、密度、正文内容等信息进行配置，在线阅读书目可根据自定义的水印规则进行水印的调度及展示，能够在不影响阅读的情况很好的保护数据的权限。</w:t>
            </w:r>
          </w:p>
          <w:p w14:paraId="6844642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支持互动管理，平台可对用户的评论咨询进行收集并反馈到管理员，并进行分类，管理员可统一进行回复。</w:t>
            </w:r>
          </w:p>
          <w:p w14:paraId="07D8803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展示古籍的版式还原的效果。</w:t>
            </w:r>
          </w:p>
          <w:p w14:paraId="78C744E7">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古籍资源检索：主要分为数据信息检索、全文检索，支持大小写通检、繁简通检、精确/模糊匹配，提供检索词推荐、检索结果按相关度排序等功能。平台检索具备屏蔽敏感词汇的功能。数据信息检索根据检索词在题名、关键词、摘要等字段进行匹配，按照全文、知识数据等分类聚合检索结果。支持高级检索，提供数据范围勾选和多字段组合检索，进行深度揭示。全文检索支持对全文内容进行检索。 </w:t>
            </w:r>
          </w:p>
          <w:p w14:paraId="6C34F53F">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支持字画数据库、古籍知识视频播放、古籍讲坛、古籍课程、古籍展览及VR在线观展、专题数据库等展示。</w:t>
            </w:r>
          </w:p>
          <w:p w14:paraId="417939A3">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用户中心：提供个人阅读记录、收藏、书签、笔记、标注、问题反馈等信息版块。可根据业务需要灵活增删版块。</w:t>
            </w:r>
          </w:p>
          <w:p w14:paraId="3C9538B2">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个人阅读记录：用户可以在此查看自己的阅读历史，支持快速定位到阅读过的内容，方便用户继续阅读或回顾。</w:t>
            </w:r>
          </w:p>
          <w:p w14:paraId="4F450CD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收藏：提供收藏夹管理功能，用户可以创建多个收藏夹并按需分类内容。</w:t>
            </w:r>
          </w:p>
          <w:p w14:paraId="7A4F2417">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书签：主要用于标记用户在阅读文章或书籍时的位置，用户可以自定义书签名称和添加备注。</w:t>
            </w:r>
          </w:p>
          <w:p w14:paraId="6664F7E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 xml:space="preserve">笔记：支持笔记的编辑、保存和分享功能，提供笔记分类和搜索功能。 </w:t>
            </w:r>
          </w:p>
          <w:p w14:paraId="1D7B115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标注记录：提供用户对自主标注记录的查看和管理功能。</w:t>
            </w:r>
          </w:p>
          <w:p w14:paraId="169A25AA">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问题反馈：提供对反馈的问题查看和管理功能。用户可以查看。</w:t>
            </w:r>
          </w:p>
          <w:p w14:paraId="3FC9C7B4">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rPr>
                <w:rStyle w:val="10"/>
                <w:rFonts w:hint="default" w:ascii="宋体" w:hAnsi="宋体" w:cs="宋体"/>
                <w:b/>
                <w:bCs/>
                <w:color w:val="auto"/>
                <w:sz w:val="21"/>
                <w:szCs w:val="21"/>
                <w:highlight w:val="none"/>
                <w:lang w:val="en-US" w:eastAsia="zh-CN"/>
              </w:rPr>
            </w:pPr>
            <w:r>
              <w:rPr>
                <w:rStyle w:val="10"/>
                <w:rFonts w:hint="eastAsia" w:ascii="宋体" w:hAnsi="宋体" w:cs="宋体"/>
                <w:b/>
                <w:bCs/>
                <w:color w:val="auto"/>
                <w:sz w:val="21"/>
                <w:szCs w:val="21"/>
                <w:highlight w:val="none"/>
                <w:lang w:val="en-US" w:eastAsia="zh-CN"/>
              </w:rPr>
              <w:t xml:space="preserve"> </w:t>
            </w:r>
          </w:p>
        </w:tc>
      </w:tr>
      <w:tr w14:paraId="083C6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91" w:type="dxa"/>
            <w:noWrap w:val="0"/>
            <w:vAlign w:val="center"/>
          </w:tcPr>
          <w:p w14:paraId="7B3D4259">
            <w:pPr>
              <w:pStyle w:val="12"/>
              <w:widowControl w:val="0"/>
              <w:shd w:val="clear" w:color="auto" w:fill="auto"/>
              <w:spacing w:line="240" w:lineRule="auto"/>
              <w:jc w:val="center"/>
              <w:rPr>
                <w:rStyle w:val="10"/>
                <w:rFonts w:hint="default" w:ascii="宋体" w:hAnsi="宋体" w:eastAsia="宋体" w:cs="Times New Roman"/>
                <w:color w:val="auto"/>
                <w:kern w:val="2"/>
                <w:sz w:val="21"/>
                <w:szCs w:val="21"/>
                <w:highlight w:val="none"/>
                <w:lang w:val="en-US" w:eastAsia="zh-CN" w:bidi="ar-SA"/>
              </w:rPr>
            </w:pPr>
            <w:r>
              <w:rPr>
                <w:rStyle w:val="10"/>
                <w:rFonts w:hint="eastAsia" w:ascii="宋体" w:hAnsi="宋体" w:cs="Times New Roman"/>
                <w:color w:val="auto"/>
                <w:kern w:val="2"/>
                <w:sz w:val="21"/>
                <w:szCs w:val="21"/>
                <w:highlight w:val="none"/>
                <w:lang w:val="en-US" w:eastAsia="zh-CN" w:bidi="ar-SA"/>
              </w:rPr>
              <w:t>9</w:t>
            </w:r>
          </w:p>
        </w:tc>
        <w:tc>
          <w:tcPr>
            <w:tcW w:w="1150" w:type="dxa"/>
            <w:noWrap w:val="0"/>
            <w:vAlign w:val="center"/>
          </w:tcPr>
          <w:p w14:paraId="79AFE8C3">
            <w:pPr>
              <w:pStyle w:val="12"/>
              <w:widowControl w:val="0"/>
              <w:shd w:val="clear" w:color="auto" w:fill="auto"/>
              <w:spacing w:line="240" w:lineRule="auto"/>
              <w:jc w:val="center"/>
              <w:rPr>
                <w:rStyle w:val="10"/>
                <w:rFonts w:hint="default" w:ascii="宋体" w:hAnsi="宋体" w:eastAsia="宋体" w:cs="Times New Roman"/>
                <w:color w:val="auto"/>
                <w:kern w:val="2"/>
                <w:sz w:val="21"/>
                <w:szCs w:val="21"/>
                <w:highlight w:val="none"/>
                <w:lang w:val="en-US" w:eastAsia="zh-CN" w:bidi="ar-SA"/>
              </w:rPr>
            </w:pPr>
            <w:r>
              <w:rPr>
                <w:rStyle w:val="10"/>
                <w:rFonts w:hint="eastAsia" w:ascii="宋体" w:hAnsi="宋体" w:eastAsia="宋体" w:cs="Times New Roman"/>
                <w:color w:val="auto"/>
                <w:kern w:val="2"/>
                <w:sz w:val="21"/>
                <w:szCs w:val="21"/>
                <w:highlight w:val="none"/>
                <w:lang w:val="en-US" w:eastAsia="zh-CN" w:bidi="ar-SA"/>
              </w:rPr>
              <w:t>数据导入</w:t>
            </w:r>
          </w:p>
        </w:tc>
        <w:tc>
          <w:tcPr>
            <w:tcW w:w="7179" w:type="dxa"/>
            <w:noWrap w:val="0"/>
            <w:vAlign w:val="top"/>
          </w:tcPr>
          <w:p w14:paraId="3CC21191">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jc w:val="left"/>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中标人须严格按照采购人的具体技术规范及操作要求，将经审核通过的古籍数字化加工成果，完整、准确地上传至采购人指定的服务平台，并完成发布及展示环节的全部操作，确保成果在平台上正常呈现。</w:t>
            </w:r>
          </w:p>
        </w:tc>
      </w:tr>
    </w:tbl>
    <w:p w14:paraId="6884FA37">
      <w:pPr>
        <w:spacing w:line="360" w:lineRule="auto"/>
        <w:ind w:firstLine="482" w:firstLineChars="200"/>
        <w:rPr>
          <w:rFonts w:hint="eastAsia" w:ascii="宋体" w:hAnsi="宋体" w:cs="宋体"/>
          <w:b/>
          <w:color w:val="auto"/>
          <w:lang w:val="en-US" w:eastAsia="zh-CN"/>
        </w:rPr>
      </w:pPr>
    </w:p>
    <w:p w14:paraId="75F4D6D9">
      <w:pPr>
        <w:spacing w:line="360" w:lineRule="auto"/>
        <w:ind w:firstLine="482" w:firstLineChars="200"/>
        <w:rPr>
          <w:rFonts w:hint="eastAsia" w:ascii="宋体" w:hAnsi="宋体" w:cs="宋体"/>
          <w:b/>
          <w:color w:val="auto"/>
          <w:lang w:val="en-US" w:eastAsia="zh-CN"/>
        </w:rPr>
      </w:pPr>
      <w:r>
        <w:rPr>
          <w:rFonts w:hint="eastAsia" w:ascii="宋体" w:hAnsi="宋体" w:cs="宋体"/>
          <w:b/>
          <w:color w:val="auto"/>
          <w:lang w:val="en-US" w:eastAsia="zh-CN"/>
        </w:rPr>
        <w:t>三、古籍数字化项目成品提交要求</w:t>
      </w:r>
    </w:p>
    <w:p w14:paraId="7272E19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（1）中标人须在</w:t>
      </w:r>
      <w:r>
        <w:rPr>
          <w:rStyle w:val="10"/>
          <w:rFonts w:hint="eastAsia" w:ascii="宋体" w:hAnsi="宋体" w:cs="宋体"/>
          <w:color w:val="auto"/>
          <w:sz w:val="21"/>
          <w:szCs w:val="21"/>
          <w:highlight w:val="none"/>
          <w:lang w:val="en-US" w:eastAsia="zh-CN"/>
        </w:rPr>
        <w:t>8个月内</w:t>
      </w:r>
      <w:r>
        <w:rPr>
          <w:rStyle w:val="10"/>
          <w:rFonts w:hint="eastAsia" w:ascii="宋体" w:hAnsi="宋体" w:eastAsia="宋体" w:cs="宋体"/>
          <w:color w:val="auto"/>
          <w:sz w:val="21"/>
          <w:szCs w:val="21"/>
          <w:highlight w:val="none"/>
          <w:lang w:val="en-US" w:eastAsia="zh-CN"/>
        </w:rPr>
        <w:t>完成古籍数字化项目成品的验收和提交。</w:t>
      </w:r>
    </w:p>
    <w:p w14:paraId="6071A66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（2）数据备份：中标人须将古籍资源加工所有数据完整备份，移动硬盘</w:t>
      </w:r>
      <w:r>
        <w:rPr>
          <w:rStyle w:val="10"/>
          <w:rFonts w:hint="eastAsia" w:ascii="宋体" w:hAnsi="宋体" w:cs="宋体"/>
          <w:color w:val="auto"/>
          <w:sz w:val="21"/>
          <w:szCs w:val="21"/>
          <w:highlight w:val="none"/>
          <w:lang w:val="en-US" w:eastAsia="zh-CN"/>
        </w:rPr>
        <w:t>一</w:t>
      </w:r>
      <w:r>
        <w:rPr>
          <w:rStyle w:val="10"/>
          <w:rFonts w:hint="eastAsia" w:ascii="宋体" w:hAnsi="宋体" w:eastAsia="宋体" w:cs="宋体"/>
          <w:color w:val="auto"/>
          <w:sz w:val="21"/>
          <w:szCs w:val="21"/>
          <w:highlight w:val="none"/>
          <w:lang w:val="en-US" w:eastAsia="zh-CN"/>
        </w:rPr>
        <w:t>套</w:t>
      </w:r>
      <w:r>
        <w:rPr>
          <w:rStyle w:val="10"/>
          <w:rFonts w:hint="eastAsia" w:ascii="宋体" w:hAnsi="宋体" w:cs="宋体"/>
          <w:color w:val="auto"/>
          <w:sz w:val="21"/>
          <w:szCs w:val="21"/>
          <w:highlight w:val="none"/>
          <w:lang w:val="en-US" w:eastAsia="zh-CN"/>
        </w:rPr>
        <w:t>递交</w:t>
      </w:r>
      <w:r>
        <w:rPr>
          <w:rStyle w:val="10"/>
          <w:rFonts w:hint="eastAsia" w:ascii="宋体" w:hAnsi="宋体" w:eastAsia="宋体" w:cs="宋体"/>
          <w:color w:val="auto"/>
          <w:sz w:val="21"/>
          <w:szCs w:val="21"/>
          <w:highlight w:val="none"/>
          <w:lang w:val="en-US" w:eastAsia="zh-CN"/>
        </w:rPr>
        <w:t>。</w:t>
      </w:r>
    </w:p>
    <w:p w14:paraId="5CED4657">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（3）数字化成品数据包括：（1）文献图像资源；（2）图像内容标记清单；（3）每批次文献数字化情况统计表，内容包括每箱/包已扫描件数、生成页数、未扫描件数及各类未扫描数量明细。</w:t>
      </w:r>
    </w:p>
    <w:p w14:paraId="26D213A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4）最终成果数据包含：XML文件，内容包括古籍基本元数据、结构数据、卷目篇名著录；长期保存级、发布服务级数据，包括：TIFF格式文件，JPG格式文件，PDF格式文件，双层PDF格式文件，TXT格式文件；古籍文献整理登记表；各类数据的总体说明文件用EXCEL表填写。</w:t>
      </w:r>
    </w:p>
    <w:p w14:paraId="20A3DE4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（5）采购人不定期对古籍数字化成品采取抽样检查，中标人须对不合格数字化加工成品无条件进行整改。</w:t>
      </w:r>
    </w:p>
    <w:p w14:paraId="3763CEF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eastAsia"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（6）古籍数字化数据以台式机械硬盘与移动硬盘的方式交付，相关设备费用由中标人承担。</w:t>
      </w:r>
    </w:p>
    <w:p w14:paraId="42F807A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（7）数据加工完成须提供第三方质检报告。</w:t>
      </w:r>
    </w:p>
    <w:p w14:paraId="0D37277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firstLine="420" w:firstLineChars="200"/>
        <w:jc w:val="both"/>
        <w:textAlignment w:val="auto"/>
        <w:rPr>
          <w:rStyle w:val="10"/>
          <w:rFonts w:hint="default" w:ascii="宋体" w:hAnsi="宋体" w:eastAsia="宋体" w:cs="宋体"/>
          <w:color w:val="auto"/>
          <w:sz w:val="21"/>
          <w:szCs w:val="21"/>
          <w:highlight w:val="none"/>
          <w:lang w:val="en-US" w:eastAsia="zh-CN"/>
        </w:rPr>
      </w:pPr>
      <w:r>
        <w:rPr>
          <w:rStyle w:val="10"/>
          <w:rFonts w:hint="eastAsia" w:ascii="宋体" w:hAnsi="宋体" w:eastAsia="宋体" w:cs="宋体"/>
          <w:color w:val="auto"/>
          <w:sz w:val="21"/>
          <w:szCs w:val="21"/>
          <w:highlight w:val="none"/>
          <w:lang w:val="en-US" w:eastAsia="zh-CN"/>
        </w:rPr>
        <w:t>（8）项目提交验收后</w:t>
      </w:r>
      <w:r>
        <w:rPr>
          <w:rStyle w:val="10"/>
          <w:rFonts w:hint="eastAsia" w:ascii="宋体" w:hAnsi="宋体" w:cs="宋体"/>
          <w:color w:val="auto"/>
          <w:sz w:val="21"/>
          <w:szCs w:val="21"/>
          <w:highlight w:val="none"/>
          <w:lang w:val="en-US" w:eastAsia="zh-CN"/>
        </w:rPr>
        <w:t>质保一年</w:t>
      </w:r>
      <w:r>
        <w:rPr>
          <w:rStyle w:val="10"/>
          <w:rFonts w:hint="eastAsia" w:ascii="宋体" w:hAnsi="宋体" w:eastAsia="宋体" w:cs="宋体"/>
          <w:color w:val="auto"/>
          <w:sz w:val="21"/>
          <w:szCs w:val="21"/>
          <w:highlight w:val="none"/>
          <w:lang w:val="en-US" w:eastAsia="zh-CN"/>
        </w:rPr>
        <w:t>。</w:t>
      </w:r>
    </w:p>
    <w:p w14:paraId="334E5617">
      <w:pPr>
        <w:spacing w:line="360" w:lineRule="auto"/>
        <w:ind w:firstLine="482" w:firstLineChars="200"/>
        <w:rPr>
          <w:rFonts w:hint="eastAsia" w:ascii="宋体" w:hAnsi="宋体" w:cs="宋体"/>
          <w:b/>
          <w:color w:val="auto"/>
          <w:lang w:val="en-US" w:eastAsia="zh-CN"/>
        </w:rPr>
      </w:pPr>
      <w:bookmarkStart w:id="0" w:name="_Toc256000046"/>
      <w:bookmarkStart w:id="1" w:name="_Toc12938"/>
      <w:r>
        <w:rPr>
          <w:rFonts w:hint="eastAsia" w:ascii="宋体" w:hAnsi="宋体" w:cs="宋体"/>
          <w:b/>
          <w:color w:val="auto"/>
          <w:lang w:val="en-US" w:eastAsia="zh-CN"/>
        </w:rPr>
        <w:t xml:space="preserve"> 四、安全保障和保密性要求</w:t>
      </w:r>
      <w:bookmarkEnd w:id="0"/>
      <w:bookmarkEnd w:id="1"/>
    </w:p>
    <w:p w14:paraId="24B98F2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1、采购人古籍数字化项目工作场地必须在采购人指定地点进行，文献不得离开指定地点，加工场地须有现场监控以确保数据安全。</w:t>
      </w:r>
    </w:p>
    <w:p w14:paraId="2D2F577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bookmarkStart w:id="2" w:name="_Toc6714"/>
      <w:r>
        <w:rPr>
          <w:rStyle w:val="10"/>
          <w:rFonts w:hint="eastAsia" w:ascii="宋体" w:hAnsi="宋体" w:eastAsia="宋体" w:cs="宋体"/>
          <w:color w:val="auto"/>
          <w:kern w:val="2"/>
          <w:sz w:val="21"/>
          <w:szCs w:val="21"/>
          <w:highlight w:val="none"/>
          <w:lang w:val="en-US" w:eastAsia="zh-CN" w:bidi="ar-SA"/>
        </w:rPr>
        <w:t>2、为保证加工工作高效开展，双方应及时沟通协调，中标人项目现场管理人员应设置AB角色，保证管理人员始终在岗。不得随意更换项目负责人和工作人员，如确需要更换的，须按程序经采购人同意。</w:t>
      </w:r>
      <w:bookmarkEnd w:id="2"/>
    </w:p>
    <w:p w14:paraId="7C27ACF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default"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3、本项目古籍数字化资源版权属采购人独家所有，加工的数据须绝对保密，中标人加工的任何古籍图片不得擅自对外发布。中标人和采购人签订承诺函和保密协议，承诺数据不得私自下载、留存,不得以任何方式带出工作场所或向外泄露，并严格执行。如出现数字资源信息外泄情况，须承担赔偿与相关的法律责任。</w:t>
      </w:r>
    </w:p>
    <w:p w14:paraId="64C83B8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default"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4、参与本项目数字化加工的设备禁止连接互联网。参与本项目加工的全部计算机设备均拆除光驱、软驱，封闭USB端口。加工系统的服务器须两个管理员同时在场才能操作，其他任何人不得操作服务器。严禁非项目工作人员携带U盘、移动硬盘等移动存储设备进入工作现场。所有存储设备须提交给采购人。</w:t>
      </w:r>
    </w:p>
    <w:p w14:paraId="6712D9D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5、扫描中古籍由中标人和采购人指定专人负责交接，古籍分批次提取和归还，不得零散归还。取还书时间由中标人与采购人根据实际情况协商确定。</w:t>
      </w:r>
    </w:p>
    <w:p w14:paraId="7B1C740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6、扫描工作完成后，中标人应对照出库工作单核对返库古籍的种数、册数，检查扫描中有无损坏，填写返库检验工作单，中标人检查无误后，古籍要整批次返还采购人，同时还要随书将中标人填写的返库检验工作单和采购人填写的出库工作单一起交付采购人，以备采购人核查。</w:t>
      </w:r>
    </w:p>
    <w:p w14:paraId="38E2F15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7、扫描期间，古籍离开书库到扫描完毕，中标人应保证古籍的绝对安全，符合采购人的保存、保护和安全规则。本着保护古籍要求，原则上不拆书扫描。</w:t>
      </w:r>
    </w:p>
    <w:p w14:paraId="00A58BB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8、古籍数字化图像须由采购人指派专人进行拷贝，现场各环节交接时，双方必须对照交接清单核对古籍名称及图片数量无误后方可交接。</w:t>
      </w:r>
    </w:p>
    <w:p w14:paraId="5C2DB7F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9、工作过程中，对有特殊标志或者疑问的古籍，须经采购人确认后再开始数字化加工并记录。</w:t>
      </w:r>
    </w:p>
    <w:p w14:paraId="39F074C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default"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10、处理后的数字化图片（无压缩版）及其版权均归采购人独家所有，项目结束后，中标人工作站上所有数据将拷贝回采购人，中标人储存器相关数据须在采购人现场监督下进行销毁。项目建设过程中及项目结束后，严禁一切用途的文献原件及数字化成果利用。如有违约行为，中标人承担赔偿与相关法律责任。</w:t>
      </w:r>
    </w:p>
    <w:p w14:paraId="1095B9A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11、项目开展后，中标人需每月底定期向采购人汇报当前项目进度，以确保项目按约完成。</w:t>
      </w:r>
    </w:p>
    <w:p w14:paraId="60DA651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firstLine="420" w:firstLineChars="200"/>
        <w:jc w:val="both"/>
        <w:textAlignment w:val="auto"/>
        <w:rPr>
          <w:rStyle w:val="10"/>
          <w:rFonts w:hint="eastAsia" w:ascii="宋体" w:hAnsi="宋体" w:eastAsia="宋体" w:cs="宋体"/>
          <w:color w:val="auto"/>
          <w:kern w:val="2"/>
          <w:sz w:val="21"/>
          <w:szCs w:val="21"/>
          <w:highlight w:val="none"/>
          <w:lang w:val="en-US" w:eastAsia="zh-CN" w:bidi="ar-SA"/>
        </w:rPr>
      </w:pPr>
      <w:r>
        <w:rPr>
          <w:rStyle w:val="10"/>
          <w:rFonts w:hint="eastAsia" w:ascii="宋体" w:hAnsi="宋体" w:eastAsia="宋体" w:cs="宋体"/>
          <w:color w:val="auto"/>
          <w:kern w:val="2"/>
          <w:sz w:val="21"/>
          <w:szCs w:val="21"/>
          <w:highlight w:val="none"/>
          <w:lang w:val="en-US" w:eastAsia="zh-CN" w:bidi="ar-SA"/>
        </w:rPr>
        <w:t>12、因中标人人为因素造成古籍损害的，中标人须按市价赔偿，价格由专家评估后确定。若双方无法协商，由仲裁机构处理。</w:t>
      </w:r>
    </w:p>
    <w:p w14:paraId="752E19E0">
      <w:pPr>
        <w:spacing w:line="360" w:lineRule="auto"/>
        <w:ind w:firstLine="480" w:firstLineChars="200"/>
        <w:jc w:val="left"/>
        <w:rPr>
          <w:rFonts w:ascii="宋体" w:hAnsi="宋体"/>
          <w:color w:val="auto"/>
          <w:szCs w:val="21"/>
          <w:lang w:bidi="en-US"/>
        </w:rPr>
      </w:pPr>
    </w:p>
    <w:p w14:paraId="4F7C4593">
      <w:pPr>
        <w:adjustRightInd w:val="0"/>
        <w:snapToGrid w:val="0"/>
        <w:spacing w:line="360" w:lineRule="auto"/>
        <w:rPr>
          <w:rFonts w:ascii="宋体" w:hAnsi="宋体" w:cs="宋体"/>
          <w:b/>
          <w:bCs/>
          <w:color w:val="auto"/>
          <w:sz w:val="24"/>
        </w:rPr>
      </w:pPr>
    </w:p>
    <w:p w14:paraId="5CD3B95A">
      <w:pPr>
        <w:pStyle w:val="8"/>
        <w:ind w:left="0" w:leftChars="0" w:firstLine="0" w:firstLineChars="0"/>
        <w:rPr>
          <w:rFonts w:hint="default"/>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5B45"/>
    <w:rsid w:val="00D743B5"/>
    <w:rsid w:val="02671768"/>
    <w:rsid w:val="02C40969"/>
    <w:rsid w:val="03A964DC"/>
    <w:rsid w:val="06C551C2"/>
    <w:rsid w:val="08F0070A"/>
    <w:rsid w:val="09067F2D"/>
    <w:rsid w:val="0AC459AA"/>
    <w:rsid w:val="0B3A2110"/>
    <w:rsid w:val="0C5766A2"/>
    <w:rsid w:val="0F307AB2"/>
    <w:rsid w:val="0F8903ED"/>
    <w:rsid w:val="10DD5A17"/>
    <w:rsid w:val="12A6008B"/>
    <w:rsid w:val="15175270"/>
    <w:rsid w:val="15F80BFE"/>
    <w:rsid w:val="168F22DC"/>
    <w:rsid w:val="19B60BB4"/>
    <w:rsid w:val="1BD143CB"/>
    <w:rsid w:val="1C7D3C2D"/>
    <w:rsid w:val="1D553849"/>
    <w:rsid w:val="1E2527AC"/>
    <w:rsid w:val="1E764DB5"/>
    <w:rsid w:val="1E7D4396"/>
    <w:rsid w:val="1F7A7DCA"/>
    <w:rsid w:val="20740D9B"/>
    <w:rsid w:val="209459C7"/>
    <w:rsid w:val="239A7798"/>
    <w:rsid w:val="23E24A0B"/>
    <w:rsid w:val="288D78CB"/>
    <w:rsid w:val="2E3600BD"/>
    <w:rsid w:val="34DA5971"/>
    <w:rsid w:val="374F76B8"/>
    <w:rsid w:val="37C30C14"/>
    <w:rsid w:val="3CBE5E4E"/>
    <w:rsid w:val="3CC6451A"/>
    <w:rsid w:val="3D281519"/>
    <w:rsid w:val="3EB43064"/>
    <w:rsid w:val="40251D40"/>
    <w:rsid w:val="41BD0482"/>
    <w:rsid w:val="430640AA"/>
    <w:rsid w:val="43C94F14"/>
    <w:rsid w:val="44527A54"/>
    <w:rsid w:val="45806396"/>
    <w:rsid w:val="459F25AF"/>
    <w:rsid w:val="45DB181E"/>
    <w:rsid w:val="47213261"/>
    <w:rsid w:val="4E755140"/>
    <w:rsid w:val="4F3128E2"/>
    <w:rsid w:val="50B82E88"/>
    <w:rsid w:val="530C3017"/>
    <w:rsid w:val="54FE4BE1"/>
    <w:rsid w:val="550A7A2A"/>
    <w:rsid w:val="55501635"/>
    <w:rsid w:val="57580F21"/>
    <w:rsid w:val="5A767910"/>
    <w:rsid w:val="5B8878FB"/>
    <w:rsid w:val="5D8131F5"/>
    <w:rsid w:val="5F73745C"/>
    <w:rsid w:val="60E455D3"/>
    <w:rsid w:val="62D81AA0"/>
    <w:rsid w:val="65827169"/>
    <w:rsid w:val="70785F4B"/>
    <w:rsid w:val="708E730A"/>
    <w:rsid w:val="716705DE"/>
    <w:rsid w:val="74455C49"/>
    <w:rsid w:val="7713060F"/>
    <w:rsid w:val="784D32E8"/>
    <w:rsid w:val="78745037"/>
    <w:rsid w:val="79892D64"/>
    <w:rsid w:val="7A5E4818"/>
    <w:rsid w:val="7B62386D"/>
    <w:rsid w:val="7C63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Calibri"/>
      <w:szCs w:val="21"/>
    </w:rPr>
  </w:style>
  <w:style w:type="paragraph" w:styleId="3">
    <w:name w:val="annotation text"/>
    <w:basedOn w:val="1"/>
    <w:semiHidden/>
    <w:qFormat/>
    <w:uiPriority w:val="0"/>
    <w:pPr>
      <w:jc w:val="left"/>
    </w:pPr>
  </w:style>
  <w:style w:type="paragraph" w:styleId="4">
    <w:name w:val="Body Text"/>
    <w:basedOn w:val="1"/>
    <w:next w:val="1"/>
    <w:qFormat/>
    <w:uiPriority w:val="0"/>
    <w:pPr>
      <w:spacing w:after="120" w:afterLines="0" w:afterAutospacing="0"/>
    </w:pPr>
  </w:style>
  <w:style w:type="paragraph" w:styleId="5">
    <w:name w:val="Body Text Indent"/>
    <w:basedOn w:val="1"/>
    <w:qFormat/>
    <w:uiPriority w:val="0"/>
    <w:pPr>
      <w:spacing w:after="120" w:afterLines="0" w:afterAutospacing="0"/>
      <w:ind w:left="420" w:leftChars="200"/>
    </w:pPr>
  </w:style>
  <w:style w:type="paragraph" w:styleId="6">
    <w:name w:val="Plain Text"/>
    <w:basedOn w:val="1"/>
    <w:qFormat/>
    <w:uiPriority w:val="0"/>
    <w:rPr>
      <w:rFonts w:ascii="宋体" w:hAnsi="Courier New"/>
      <w:sz w:val="21"/>
      <w:szCs w:val="20"/>
    </w:rPr>
  </w:style>
  <w:style w:type="paragraph" w:styleId="7">
    <w:name w:val="Normal (Web)"/>
    <w:basedOn w:val="4"/>
    <w:qFormat/>
    <w:uiPriority w:val="0"/>
    <w:pPr>
      <w:spacing w:before="0" w:beforeAutospacing="1" w:after="0" w:afterAutospacing="1"/>
      <w:ind w:left="0" w:right="0"/>
      <w:jc w:val="left"/>
    </w:pPr>
    <w:rPr>
      <w:rFonts w:eastAsia="宋体"/>
      <w:kern w:val="0"/>
      <w:lang w:bidi="ar"/>
    </w:rPr>
  </w:style>
  <w:style w:type="paragraph" w:styleId="8">
    <w:name w:val="Body Text First Indent 2"/>
    <w:basedOn w:val="5"/>
    <w:qFormat/>
    <w:uiPriority w:val="0"/>
    <w:pPr>
      <w:ind w:firstLine="420" w:firstLineChars="200"/>
    </w:pPr>
  </w:style>
  <w:style w:type="paragraph" w:customStyle="1" w:styleId="11">
    <w:name w:val="样式1"/>
    <w:basedOn w:val="6"/>
    <w:qFormat/>
    <w:uiPriority w:val="0"/>
    <w:rPr>
      <w:rFonts w:ascii="Times New Roman" w:hAnsi="Times New Roman" w:eastAsia="楷体_GB2312"/>
      <w:bCs/>
    </w:rPr>
  </w:style>
  <w:style w:type="paragraph" w:customStyle="1" w:styleId="1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Normal_0"/>
    <w:qFormat/>
    <w:uiPriority w:val="99"/>
    <w:rPr>
      <w:rFonts w:ascii="Times New Roman" w:hAnsi="Times New Roman" w:eastAsia="宋体" w:cs="Times New Roman"/>
      <w:sz w:val="24"/>
      <w:szCs w:val="24"/>
      <w:lang w:val="en-US" w:eastAsia="zh-CN" w:bidi="ar-SA"/>
    </w:rPr>
  </w:style>
  <w:style w:type="paragraph" w:customStyle="1" w:styleId="14">
    <w:name w:val="表格"/>
    <w:basedOn w:val="1"/>
    <w:qFormat/>
    <w:uiPriority w:val="0"/>
    <w:pPr>
      <w:adjustRightInd w:val="0"/>
      <w:snapToGrid w:val="0"/>
      <w:spacing w:line="240" w:lineRule="atLeast"/>
    </w:pPr>
    <w:rPr>
      <w:rFonts w:ascii="Times New Roman" w:hAnsi="Times New Roman" w:eastAsia="宋体" w:cs="Times New Roman"/>
      <w:b/>
      <w:bCs/>
      <w:szCs w:val="21"/>
      <w:lang w:bidi="mr-IN"/>
    </w:r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6013</Words>
  <Characters>6314</Characters>
  <Lines>0</Lines>
  <Paragraphs>0</Paragraphs>
  <TotalTime>1</TotalTime>
  <ScaleCrop>false</ScaleCrop>
  <LinksUpToDate>false</LinksUpToDate>
  <CharactersWithSpaces>6347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2023-07-29T11:04:00Z</dcterms:created>
  <dc:creator>YXM</dc:creator>
  <cp:lastModifiedBy>罗力</cp:lastModifiedBy>
  <dcterms:modified xsi:type="dcterms:W3CDTF">2025-12-17T06:36:05Z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4BD86E10E9354F2FB5BDBAA8A0FAA1F2_12</vt:lpwstr>
  </property>
  <property fmtid="{D5CDD505-2E9C-101B-9397-08002B2CF9AE}" pid="4" name="KSOTemplateDocerSaveRecord">
    <vt:lpwstr>eyJoZGlkIjoiZTBkZWRjMzdlZWIwOWY4YzkzMjBkNDQwNWIwYjUwMTAiLCJ1c2VySWQiOiI4NTUwMTI2ODAifQ==</vt:lpwstr>
  </property>
</Properties>
</file>