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1A7F3"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附件2</w:t>
      </w:r>
    </w:p>
    <w:p w14:paraId="34A92ACA"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安乡县大鲸港镇安乡菜薹种植基地七家片区2026年基础设施配套建设以工代赈项目</w:t>
      </w:r>
    </w:p>
    <w:p w14:paraId="3957C4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水泥（混凝土用）报价单及参数清单</w:t>
      </w:r>
    </w:p>
    <w:p w14:paraId="00D2D0FB"/>
    <w:p w14:paraId="0B3CF3E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项目名称：安乡县大鲸港镇安乡菜薹种植基地七家片区2026年基础设施配套建设以工代赈项目</w:t>
      </w:r>
    </w:p>
    <w:p w14:paraId="4BF213F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采购内容：水泥混凝土路面浇筑及混凝土砌边用水泥</w:t>
      </w:r>
    </w:p>
    <w:p w14:paraId="15ED87D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技术参数要求：P.O 42.5普通硅酸盐水泥，符合《通用硅酸盐水泥》（GB 175）标准，初凝时间≥45min、终凝时间≤10h，3天抗压强度≥17.0MPa、28天抗压强度≥42.5MPa；进场须提供出厂合格证、质量检验报告及批次检测报告，严禁使用受潮结块水泥。</w:t>
      </w:r>
    </w:p>
    <w:p w14:paraId="42D6C69B"/>
    <w:tbl>
      <w:tblPr>
        <w:tblStyle w:val="3"/>
        <w:tblW w:w="9946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700"/>
        <w:gridCol w:w="1300"/>
        <w:gridCol w:w="700"/>
        <w:gridCol w:w="1000"/>
        <w:gridCol w:w="1300"/>
        <w:gridCol w:w="1400"/>
        <w:gridCol w:w="1846"/>
      </w:tblGrid>
      <w:tr w14:paraId="522B974C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shd w:val="clear" w:color="auto" w:fill="D5E8F0"/>
          </w:tcPr>
          <w:p w14:paraId="79EE12D0"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700" w:type="dxa"/>
            <w:shd w:val="clear" w:color="auto" w:fill="D5E8F0"/>
          </w:tcPr>
          <w:p w14:paraId="5220BE4B">
            <w:r>
              <w:rPr>
                <w:rFonts w:ascii="Times New Roman" w:hAnsi="Times New Roman" w:eastAsia="思源黑体" w:cs="Times New Roman"/>
                <w:b/>
                <w:bCs/>
              </w:rPr>
              <w:t>材料名称</w:t>
            </w:r>
          </w:p>
        </w:tc>
        <w:tc>
          <w:tcPr>
            <w:tcW w:w="1300" w:type="dxa"/>
            <w:shd w:val="clear" w:color="auto" w:fill="D5E8F0"/>
          </w:tcPr>
          <w:p w14:paraId="0B82929C"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700" w:type="dxa"/>
            <w:shd w:val="clear" w:color="auto" w:fill="D5E8F0"/>
          </w:tcPr>
          <w:p w14:paraId="40D44070"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000" w:type="dxa"/>
            <w:shd w:val="clear" w:color="auto" w:fill="D5E8F0"/>
          </w:tcPr>
          <w:p w14:paraId="0EDC5712">
            <w:r>
              <w:rPr>
                <w:rFonts w:ascii="Times New Roman" w:hAnsi="Times New Roman" w:eastAsia="思源黑体" w:cs="Times New Roman"/>
                <w:b/>
                <w:bCs/>
              </w:rPr>
              <w:t>预估用量</w:t>
            </w:r>
          </w:p>
        </w:tc>
        <w:tc>
          <w:tcPr>
            <w:tcW w:w="1300" w:type="dxa"/>
            <w:shd w:val="clear" w:color="auto" w:fill="D5E8F0"/>
          </w:tcPr>
          <w:p w14:paraId="7E174E09">
            <w:r>
              <w:rPr>
                <w:rFonts w:ascii="Times New Roman" w:hAnsi="Times New Roman" w:eastAsia="思源黑体" w:cs="Times New Roman"/>
                <w:b/>
                <w:bCs/>
              </w:rPr>
              <w:t>控制单价（元）</w:t>
            </w:r>
          </w:p>
        </w:tc>
        <w:tc>
          <w:tcPr>
            <w:tcW w:w="1400" w:type="dxa"/>
            <w:shd w:val="clear" w:color="auto" w:fill="D5E8F0"/>
          </w:tcPr>
          <w:p w14:paraId="4D8017BC"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846" w:type="dxa"/>
            <w:shd w:val="clear" w:color="auto" w:fill="D5E8F0"/>
          </w:tcPr>
          <w:p w14:paraId="49A72E0B"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 w14:paraId="79532457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700" w:type="dxa"/>
          </w:tcPr>
          <w:p w14:paraId="136A5E6D">
            <w:pPr>
              <w:rPr>
                <w:rFonts w:ascii="Times New Roman" w:hAnsi="Times New Roman" w:eastAsia="思源黑体" w:cs="Times New Roman"/>
              </w:rPr>
            </w:pPr>
          </w:p>
          <w:p w14:paraId="7B8C0AC2">
            <w:pPr>
              <w:ind w:firstLine="210" w:firstLineChars="100"/>
            </w:pPr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700" w:type="dxa"/>
          </w:tcPr>
          <w:p w14:paraId="04909BE3">
            <w:pPr>
              <w:jc w:val="left"/>
              <w:rPr>
                <w:rFonts w:ascii="Times New Roman" w:hAnsi="Times New Roman" w:eastAsia="思源黑体" w:cs="Times New Roman"/>
              </w:rPr>
            </w:pPr>
          </w:p>
          <w:p w14:paraId="4B33F138">
            <w:pPr>
              <w:jc w:val="left"/>
            </w:pPr>
            <w:r>
              <w:rPr>
                <w:rFonts w:ascii="Times New Roman" w:hAnsi="Times New Roman" w:eastAsia="思源黑体" w:cs="Times New Roman"/>
              </w:rPr>
              <w:t>普通硅酸盐水泥</w:t>
            </w:r>
          </w:p>
        </w:tc>
        <w:tc>
          <w:tcPr>
            <w:tcW w:w="1300" w:type="dxa"/>
          </w:tcPr>
          <w:p w14:paraId="31AC8800">
            <w:pPr>
              <w:rPr>
                <w:rFonts w:ascii="Times New Roman" w:hAnsi="Times New Roman" w:eastAsia="思源黑体" w:cs="Times New Roman"/>
              </w:rPr>
            </w:pPr>
          </w:p>
          <w:p w14:paraId="5784603C">
            <w:r>
              <w:rPr>
                <w:rFonts w:ascii="Times New Roman" w:hAnsi="Times New Roman" w:eastAsia="思源黑体" w:cs="Times New Roman"/>
              </w:rPr>
              <w:t>P.O 42.5</w:t>
            </w:r>
          </w:p>
        </w:tc>
        <w:tc>
          <w:tcPr>
            <w:tcW w:w="700" w:type="dxa"/>
          </w:tcPr>
          <w:p w14:paraId="1E8ACA28">
            <w:pPr>
              <w:rPr>
                <w:rFonts w:ascii="Times New Roman" w:hAnsi="Times New Roman" w:eastAsia="思源黑体" w:cs="Times New Roman"/>
              </w:rPr>
            </w:pPr>
          </w:p>
          <w:p w14:paraId="5AE964BB">
            <w:r>
              <w:rPr>
                <w:rFonts w:ascii="Times New Roman" w:hAnsi="Times New Roman" w:eastAsia="思源黑体" w:cs="Times New Roman"/>
              </w:rPr>
              <w:t>吨</w:t>
            </w:r>
          </w:p>
        </w:tc>
        <w:tc>
          <w:tcPr>
            <w:tcW w:w="1000" w:type="dxa"/>
          </w:tcPr>
          <w:p w14:paraId="42BE55D4"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300" w:type="dxa"/>
          </w:tcPr>
          <w:p w14:paraId="1DA000E9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</w:tcPr>
          <w:p w14:paraId="2D8527D0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846" w:type="dxa"/>
          </w:tcPr>
          <w:p w14:paraId="5E33564A">
            <w:r>
              <w:rPr>
                <w:rFonts w:ascii="Times New Roman" w:hAnsi="Times New Roman" w:eastAsia="思源黑体" w:cs="Times New Roman"/>
              </w:rPr>
              <w:t>混凝土路面及砌边用</w:t>
            </w:r>
          </w:p>
        </w:tc>
      </w:tr>
      <w:tr w14:paraId="749E6443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45A39209">
            <w:pPr>
              <w:rPr>
                <w:rFonts w:ascii="Times New Roman" w:hAnsi="Times New Roman" w:eastAsia="思源黑体" w:cs="Times New Roman"/>
              </w:rPr>
            </w:pPr>
          </w:p>
          <w:p w14:paraId="2AB106A0"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700" w:type="dxa"/>
          </w:tcPr>
          <w:p w14:paraId="2324CD71"/>
        </w:tc>
        <w:tc>
          <w:tcPr>
            <w:tcW w:w="1300" w:type="dxa"/>
          </w:tcPr>
          <w:p w14:paraId="033EAD0F">
            <w:pPr>
              <w:rPr>
                <w:rFonts w:ascii="Times New Roman" w:hAnsi="Times New Roman" w:eastAsia="思源黑体" w:cs="Times New Roman"/>
              </w:rPr>
            </w:pPr>
          </w:p>
          <w:p w14:paraId="66618332"/>
        </w:tc>
        <w:tc>
          <w:tcPr>
            <w:tcW w:w="700" w:type="dxa"/>
          </w:tcPr>
          <w:p w14:paraId="4A7FE791">
            <w:pPr>
              <w:rPr>
                <w:rFonts w:ascii="Times New Roman" w:hAnsi="Times New Roman" w:eastAsia="思源黑体" w:cs="Times New Roman"/>
              </w:rPr>
            </w:pPr>
          </w:p>
          <w:p w14:paraId="183E1F4D"/>
        </w:tc>
        <w:tc>
          <w:tcPr>
            <w:tcW w:w="1000" w:type="dxa"/>
          </w:tcPr>
          <w:p w14:paraId="263583B3">
            <w:pPr>
              <w:rPr>
                <w:rFonts w:ascii="Times New Roman" w:hAnsi="Times New Roman" w:eastAsia="思源黑体" w:cs="Times New Roman"/>
              </w:rPr>
            </w:pPr>
          </w:p>
          <w:p w14:paraId="5B4056E9"/>
        </w:tc>
        <w:tc>
          <w:tcPr>
            <w:tcW w:w="1300" w:type="dxa"/>
          </w:tcPr>
          <w:p w14:paraId="7045D808">
            <w:pPr>
              <w:rPr>
                <w:rFonts w:ascii="Times New Roman" w:hAnsi="Times New Roman" w:eastAsia="思源黑体" w:cs="Times New Roman"/>
              </w:rPr>
            </w:pPr>
          </w:p>
          <w:p w14:paraId="290A4B43"/>
        </w:tc>
        <w:tc>
          <w:tcPr>
            <w:tcW w:w="1400" w:type="dxa"/>
          </w:tcPr>
          <w:p w14:paraId="3ADBC227">
            <w:pPr>
              <w:rPr>
                <w:rFonts w:ascii="Times New Roman" w:hAnsi="Times New Roman" w:eastAsia="思源黑体" w:cs="Times New Roman"/>
              </w:rPr>
            </w:pPr>
          </w:p>
          <w:p w14:paraId="5248376C"/>
        </w:tc>
        <w:tc>
          <w:tcPr>
            <w:tcW w:w="1846" w:type="dxa"/>
          </w:tcPr>
          <w:p w14:paraId="2AF667E2">
            <w:pPr>
              <w:rPr>
                <w:rFonts w:ascii="Times New Roman" w:hAnsi="Times New Roman" w:eastAsia="思源黑体" w:cs="Times New Roman"/>
              </w:rPr>
            </w:pPr>
          </w:p>
          <w:p w14:paraId="28115825"/>
        </w:tc>
      </w:tr>
    </w:tbl>
    <w:p w14:paraId="3BCE6A36"/>
    <w:p w14:paraId="22AD8C07">
      <w:pPr>
        <w:rPr>
          <w:rFonts w:ascii="Times New Roman" w:hAnsi="Times New Roman" w:eastAsia="思源黑体" w:cs="Times New Roman"/>
          <w:sz w:val="22"/>
          <w:szCs w:val="22"/>
        </w:rPr>
      </w:pPr>
    </w:p>
    <w:p w14:paraId="6E91F02C">
      <w:pPr>
        <w:rPr>
          <w:rFonts w:hint="eastAsia" w:ascii="仿宋" w:hAnsi="仿宋" w:eastAsia="仿宋" w:cs="仿宋"/>
          <w:sz w:val="32"/>
          <w:szCs w:val="32"/>
        </w:rPr>
      </w:pPr>
    </w:p>
    <w:p w14:paraId="6ECA49E8">
      <w:pPr>
        <w:rPr>
          <w:rFonts w:hint="eastAsia" w:ascii="仿宋" w:hAnsi="仿宋" w:eastAsia="仿宋" w:cs="仿宋"/>
          <w:sz w:val="32"/>
          <w:szCs w:val="32"/>
        </w:rPr>
      </w:pPr>
    </w:p>
    <w:p w14:paraId="4F69C6D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</w:t>
      </w:r>
    </w:p>
    <w:p w14:paraId="1A661AD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预估用量按水泥混凝土路面2504.50平方米、混凝土砌边34746.00平方米及配合比测算，最终结算以实际工程计量为准。</w:t>
      </w:r>
    </w:p>
    <w:p w14:paraId="45DBAD1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报价为一次性总价，包含材料费、税金、运输费、装卸费及全套售后服务，采购方不承担其他费用。</w:t>
      </w:r>
    </w:p>
    <w:p w14:paraId="2427C44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3. 报价单位（盖章）：__________________  </w:t>
      </w:r>
    </w:p>
    <w:p w14:paraId="5D542D3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 w14:paraId="3703194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报价日期：______年______月______日</w:t>
      </w:r>
    </w:p>
    <w:p w14:paraId="66187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0E7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982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497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557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770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0AA99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430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2F5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BDB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2EC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1AD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841F5"/>
    <w:rsid w:val="08C841F5"/>
    <w:rsid w:val="0CB932C5"/>
    <w:rsid w:val="16435794"/>
    <w:rsid w:val="271D634D"/>
    <w:rsid w:val="280A073E"/>
    <w:rsid w:val="29C54E43"/>
    <w:rsid w:val="2CB20162"/>
    <w:rsid w:val="2EF11648"/>
    <w:rsid w:val="301F28AC"/>
    <w:rsid w:val="442C18EF"/>
    <w:rsid w:val="4F232F25"/>
    <w:rsid w:val="512E7271"/>
    <w:rsid w:val="54767CE1"/>
    <w:rsid w:val="59281F8A"/>
    <w:rsid w:val="5AC650A0"/>
    <w:rsid w:val="5AF36F67"/>
    <w:rsid w:val="70B829C6"/>
    <w:rsid w:val="7FD1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1644</Words>
  <Characters>1975</Characters>
  <Lines>0</Lines>
  <Paragraphs>0</Paragraphs>
  <TotalTime>2</TotalTime>
  <ScaleCrop>false</ScaleCrop>
  <LinksUpToDate>false</LinksUpToDate>
  <CharactersWithSpaces>1996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2026-09-28T06:37:00Z</dcterms:created>
  <dc:creator>蛙人乌卡卡</dc:creator>
  <cp:lastModifiedBy>小羊快跑</cp:lastModifiedBy>
  <dcterms:modified xsi:type="dcterms:W3CDTF">2026-09-28T09:19:29Z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C4BE3CBCE48346A28D959E8209FA09AF_13</vt:lpwstr>
  </property>
  <property fmtid="{D5CDD505-2E9C-101B-9397-08002B2CF9AE}" pid="4" name="KSOTemplateDocerSaveRecord">
    <vt:lpwstr>eyJoZGlkIjoiM2NlOTQwMDM4N2Q3YzJiMWJkOWY1NTg2NWE3ZjY2ODIiLCJ1c2VySWQiOiIzOTI3MDM0NTEifQ==</vt:lpwstr>
  </property>
</Properties>
</file>